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D0" w:rsidRDefault="009D65DF">
      <w:pPr>
        <w:snapToGrid w:val="0"/>
        <w:jc w:val="center"/>
        <w:rPr>
          <w:rFonts w:ascii="方正小标宋_GBK" w:eastAsia="方正小标宋_GBK"/>
          <w:kern w:val="0"/>
          <w:sz w:val="44"/>
          <w:szCs w:val="44"/>
        </w:rPr>
      </w:pPr>
      <w:r>
        <w:rPr>
          <w:rFonts w:ascii="方正小标宋_GBK" w:eastAsia="方正小标宋_GBK" w:hint="eastAsia"/>
          <w:kern w:val="0"/>
          <w:sz w:val="44"/>
          <w:szCs w:val="44"/>
        </w:rPr>
        <w:t>不予实施行政强制措施清单</w:t>
      </w:r>
    </w:p>
    <w:p w:rsidR="008C7DD0" w:rsidRDefault="008C7DD0">
      <w:pPr>
        <w:snapToGrid w:val="0"/>
        <w:rPr>
          <w:rFonts w:eastAsia="方正仿宋_GBK"/>
          <w:sz w:val="32"/>
          <w:szCs w:val="32"/>
        </w:rPr>
      </w:pPr>
    </w:p>
    <w:tbl>
      <w:tblPr>
        <w:tblW w:w="13081" w:type="dxa"/>
        <w:tblInd w:w="93" w:type="dxa"/>
        <w:tblLayout w:type="fixed"/>
        <w:tblLook w:val="04A0"/>
      </w:tblPr>
      <w:tblGrid>
        <w:gridCol w:w="1008"/>
        <w:gridCol w:w="1912"/>
        <w:gridCol w:w="2320"/>
        <w:gridCol w:w="3716"/>
        <w:gridCol w:w="2338"/>
        <w:gridCol w:w="1787"/>
      </w:tblGrid>
      <w:tr w:rsidR="008C7DD0">
        <w:trPr>
          <w:trHeight w:val="807"/>
        </w:trPr>
        <w:tc>
          <w:tcPr>
            <w:tcW w:w="1008" w:type="dxa"/>
            <w:tcBorders>
              <w:top w:val="single" w:sz="4" w:space="0" w:color="auto"/>
              <w:left w:val="single" w:sz="4" w:space="0" w:color="auto"/>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序号</w:t>
            </w:r>
          </w:p>
        </w:tc>
        <w:tc>
          <w:tcPr>
            <w:tcW w:w="1912"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hint="eastAsia"/>
                <w:kern w:val="0"/>
                <w:sz w:val="24"/>
              </w:rPr>
              <w:t>行政强制措施</w:t>
            </w:r>
          </w:p>
        </w:tc>
        <w:tc>
          <w:tcPr>
            <w:tcW w:w="2320"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不予</w:t>
            </w:r>
            <w:r>
              <w:rPr>
                <w:rFonts w:eastAsia="方正黑体_GBK" w:hint="eastAsia"/>
                <w:kern w:val="0"/>
                <w:sz w:val="24"/>
              </w:rPr>
              <w:t>实施</w:t>
            </w:r>
            <w:r>
              <w:rPr>
                <w:rFonts w:eastAsia="方正黑体_GBK"/>
                <w:kern w:val="0"/>
                <w:sz w:val="24"/>
              </w:rPr>
              <w:t>条件</w:t>
            </w:r>
          </w:p>
        </w:tc>
        <w:tc>
          <w:tcPr>
            <w:tcW w:w="3716"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法律依据</w:t>
            </w:r>
          </w:p>
        </w:tc>
        <w:tc>
          <w:tcPr>
            <w:tcW w:w="2338"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实施主体</w:t>
            </w:r>
          </w:p>
        </w:tc>
        <w:tc>
          <w:tcPr>
            <w:tcW w:w="1787"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责任部门</w:t>
            </w:r>
          </w:p>
        </w:tc>
      </w:tr>
      <w:tr w:rsidR="00D84216"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1</w:t>
            </w:r>
          </w:p>
        </w:tc>
        <w:tc>
          <w:tcPr>
            <w:tcW w:w="191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查封、扣押涉嫌食品等产品安全违法行为有关合同、票据、账簿以及其他有关资料</w:t>
            </w:r>
          </w:p>
        </w:tc>
        <w:tc>
          <w:tcPr>
            <w:tcW w:w="2320"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2.可以通过复制、影印、抄录、拍摄、录像等手段提取的</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br/>
              <w:t>3.由有关合同、票据、账簿以及其他有关资料的持有人对复制件、影印件、抄录件等核对无误后注明与原件、原物一致，并签名盖章，注明日期、出处的。</w:t>
            </w:r>
          </w:p>
        </w:tc>
        <w:tc>
          <w:tcPr>
            <w:tcW w:w="3716"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《国务院关于加强食品等产品安全监督管理的特别规定》第十五条</w:t>
            </w:r>
            <w:r w:rsidRPr="00154B21">
              <w:rPr>
                <w:rFonts w:ascii="宋体" w:eastAsia="宋体" w:hAnsi="宋体" w:cs="Times New Roman"/>
                <w:color w:val="000000"/>
                <w:kern w:val="0"/>
                <w:szCs w:val="21"/>
              </w:rPr>
              <w:t>农业、卫生、质检、商务、工商、药品等监督管理部门履行各自产品安全监督管理职责，有下列职权：（二）查封、扣押有关合同、票据、账簿以及其他有关资料。</w:t>
            </w:r>
          </w:p>
        </w:tc>
        <w:tc>
          <w:tcPr>
            <w:tcW w:w="2338"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2</w:t>
            </w:r>
          </w:p>
        </w:tc>
        <w:tc>
          <w:tcPr>
            <w:tcW w:w="191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查封、扣押涉嫌医疗器械违法行为有关合同、票据、账簿以及其他有关资料；</w:t>
            </w:r>
          </w:p>
        </w:tc>
        <w:tc>
          <w:tcPr>
            <w:tcW w:w="2320"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2.可以通过复制、影印、抄录、拍摄、录像等手段提取的</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br/>
              <w:t>3.由有关合同、票据、账簿以及其他有关资料的持有人对复制件、影</w:t>
            </w:r>
            <w:r w:rsidRPr="00154B21">
              <w:rPr>
                <w:rFonts w:ascii="宋体" w:eastAsia="宋体" w:hAnsi="宋体" w:cs="Times New Roman"/>
                <w:color w:val="000000"/>
                <w:kern w:val="0"/>
                <w:szCs w:val="21"/>
              </w:rPr>
              <w:lastRenderedPageBreak/>
              <w:t>印件、抄录件等核对无误后注明与原件、原物一致，并签名盖章，注明日期、出处的。</w:t>
            </w:r>
          </w:p>
        </w:tc>
        <w:tc>
          <w:tcPr>
            <w:tcW w:w="3716"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lastRenderedPageBreak/>
              <w:t>《医疗器械监督管理条例》第七十条第一款</w:t>
            </w:r>
            <w:r w:rsidRPr="00154B21">
              <w:rPr>
                <w:rFonts w:ascii="宋体" w:eastAsia="宋体" w:hAnsi="宋体" w:cs="Times New Roman"/>
                <w:color w:val="000000"/>
                <w:kern w:val="0"/>
                <w:szCs w:val="21"/>
              </w:rPr>
              <w:t xml:space="preserve">　负责药品监督管理的部门在监督检查中有下列职权：（二）查阅、复制、查封、扣押有关合同、票据、账簿以及其他有关资料；</w:t>
            </w:r>
          </w:p>
        </w:tc>
        <w:tc>
          <w:tcPr>
            <w:tcW w:w="2338"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3</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查封涉嫌无照经营的场所，查封、扣押涉嫌用于无照经营的工具、设备、原材料、产品</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商品</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等物品</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2.场所与其他生产、生活必需场所密不可分的；</w:t>
            </w:r>
            <w:r w:rsidRPr="00154B21">
              <w:rPr>
                <w:rFonts w:ascii="宋体" w:eastAsia="宋体" w:hAnsi="宋体" w:cs="Times New Roman"/>
                <w:color w:val="000000"/>
                <w:kern w:val="0"/>
                <w:szCs w:val="21"/>
              </w:rPr>
              <w:br/>
              <w:t>3.查封会妨碍通行，破坏他人生产、生活的便利性的；</w:t>
            </w:r>
            <w:r w:rsidRPr="00154B21">
              <w:rPr>
                <w:rFonts w:ascii="宋体" w:eastAsia="宋体" w:hAnsi="宋体" w:cs="Times New Roman"/>
                <w:color w:val="000000"/>
                <w:kern w:val="0"/>
                <w:szCs w:val="21"/>
              </w:rPr>
              <w:br/>
              <w:t>4.在自然灾害、突发公共事件时，生产救灾急需品和生活必需品；</w:t>
            </w:r>
            <w:r w:rsidRPr="00154B21">
              <w:rPr>
                <w:rFonts w:ascii="宋体" w:eastAsia="宋体" w:hAnsi="宋体" w:cs="Times New Roman"/>
                <w:color w:val="000000"/>
                <w:kern w:val="0"/>
                <w:szCs w:val="21"/>
              </w:rPr>
              <w:br/>
              <w:t>5.属不涉及许可事项或有证无照的无照经营；</w:t>
            </w:r>
            <w:r w:rsidRPr="00154B21">
              <w:rPr>
                <w:rFonts w:ascii="宋体" w:eastAsia="宋体" w:hAnsi="宋体" w:cs="Times New Roman"/>
                <w:color w:val="000000"/>
                <w:kern w:val="0"/>
                <w:szCs w:val="21"/>
              </w:rPr>
              <w:br/>
              <w:t>6.从事经营活动时间较短；</w:t>
            </w:r>
            <w:r w:rsidRPr="00154B21">
              <w:rPr>
                <w:rFonts w:ascii="宋体" w:eastAsia="宋体" w:hAnsi="宋体" w:cs="Times New Roman"/>
                <w:color w:val="000000"/>
                <w:kern w:val="0"/>
                <w:szCs w:val="21"/>
              </w:rPr>
              <w:br/>
              <w:t>7.及时改正。</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《无证无照经营查处办法》第十一条第二款</w:t>
            </w:r>
            <w:r w:rsidRPr="00154B21">
              <w:rPr>
                <w:rFonts w:ascii="宋体" w:eastAsia="宋体" w:hAnsi="宋体" w:cs="Times New Roman"/>
                <w:color w:val="000000"/>
                <w:kern w:val="0"/>
                <w:szCs w:val="21"/>
              </w:rPr>
              <w:t>对涉嫌从事无照经营的场所，可以予以查封；对涉嫌用于无照经营的工具、设备、原材料、产品（商品）等物品，可以予以查封、扣押。</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4</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查封涉嫌从事食品违法生产经营活动的场所</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2.该场所与其他生产、生活必需场所密不可分的；</w:t>
            </w:r>
            <w:r w:rsidRPr="00154B21">
              <w:rPr>
                <w:rFonts w:ascii="宋体" w:eastAsia="宋体" w:hAnsi="宋体" w:cs="Times New Roman"/>
                <w:color w:val="000000"/>
                <w:kern w:val="0"/>
                <w:szCs w:val="21"/>
              </w:rPr>
              <w:br/>
              <w:t>3.查封会妨碍通行，破坏他人生产、生活的便</w:t>
            </w:r>
            <w:r w:rsidRPr="00154B21">
              <w:rPr>
                <w:rFonts w:ascii="宋体" w:eastAsia="宋体" w:hAnsi="宋体" w:cs="Times New Roman"/>
                <w:color w:val="000000"/>
                <w:kern w:val="0"/>
                <w:szCs w:val="21"/>
              </w:rPr>
              <w:lastRenderedPageBreak/>
              <w:t>利性的；</w:t>
            </w:r>
            <w:r w:rsidRPr="00154B21">
              <w:rPr>
                <w:rFonts w:ascii="宋体" w:eastAsia="宋体" w:hAnsi="宋体" w:cs="Times New Roman"/>
                <w:color w:val="000000"/>
                <w:kern w:val="0"/>
                <w:szCs w:val="21"/>
              </w:rPr>
              <w:br/>
              <w:t>4.为取得食品生产经营许可，需要对场所进行改造的；</w:t>
            </w:r>
            <w:r w:rsidRPr="00154B21">
              <w:rPr>
                <w:rFonts w:ascii="宋体" w:eastAsia="宋体" w:hAnsi="宋体" w:cs="Times New Roman"/>
                <w:color w:val="000000"/>
                <w:kern w:val="0"/>
                <w:szCs w:val="21"/>
              </w:rPr>
              <w:br/>
              <w:t>5.从事生产经营活动时间较短；</w:t>
            </w:r>
            <w:r w:rsidRPr="00154B21">
              <w:rPr>
                <w:rFonts w:ascii="宋体" w:eastAsia="宋体" w:hAnsi="宋体" w:cs="Times New Roman"/>
                <w:color w:val="000000"/>
                <w:kern w:val="0"/>
                <w:szCs w:val="21"/>
              </w:rPr>
              <w:br/>
              <w:t>6.及时改正。</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lastRenderedPageBreak/>
              <w:t>《中华人民共和国食品安全法》第一百一十条</w:t>
            </w:r>
            <w:r w:rsidRPr="00154B21">
              <w:rPr>
                <w:rFonts w:ascii="宋体" w:eastAsia="宋体" w:hAnsi="宋体" w:cs="Times New Roman"/>
                <w:color w:val="000000"/>
                <w:kern w:val="0"/>
                <w:szCs w:val="21"/>
              </w:rPr>
              <w:t>县级以上人民政府食品安全监督管理部门履行食品安全监督管理职责，有权采取下列措施，对生产经营者遵守本法的情况进行监督检查：（五）查封违法从事生产经营活动的场所。</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5</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查封、扣押涉嫌未在广告中表明出处与违法广告直接相关的广告物品、经营工具、设备等财物</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2.初次违法；</w:t>
            </w:r>
            <w:r w:rsidRPr="00154B21">
              <w:rPr>
                <w:rFonts w:ascii="宋体" w:eastAsia="宋体" w:hAnsi="宋体" w:cs="Times New Roman"/>
                <w:color w:val="000000"/>
                <w:kern w:val="0"/>
                <w:szCs w:val="21"/>
              </w:rPr>
              <w:br/>
              <w:t>3.及时改正；</w:t>
            </w:r>
            <w:r w:rsidRPr="00154B21">
              <w:rPr>
                <w:rFonts w:ascii="宋体" w:eastAsia="宋体" w:hAnsi="宋体" w:cs="Times New Roman"/>
                <w:color w:val="000000"/>
                <w:kern w:val="0"/>
                <w:szCs w:val="21"/>
              </w:rPr>
              <w:br/>
              <w:t>4.广告引证内容合法有据。</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《中华人民共和国广告法》第四十九条第一款</w:t>
            </w:r>
            <w:r w:rsidRPr="00154B21">
              <w:rPr>
                <w:rFonts w:ascii="宋体" w:eastAsia="宋体" w:hAnsi="宋体" w:cs="Times New Roman"/>
                <w:color w:val="000000"/>
                <w:kern w:val="0"/>
                <w:szCs w:val="21"/>
              </w:rPr>
              <w:t>市场监督管理部门履行广告监督管理职责，可以行使下列职权：（五）查封、扣押与涉嫌违法广告直接相关的广告物品、经营工具、设备等财物。</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6</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查封、扣押涉嫌未标明专利号与违法广告直接相关的广告物品、经营工具、设备等财物</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2.初次违法；</w:t>
            </w:r>
            <w:r w:rsidRPr="00154B21">
              <w:rPr>
                <w:rFonts w:ascii="宋体" w:eastAsia="宋体" w:hAnsi="宋体" w:cs="Times New Roman"/>
                <w:color w:val="000000"/>
                <w:kern w:val="0"/>
                <w:szCs w:val="21"/>
              </w:rPr>
              <w:br/>
              <w:t>3.及时改正；</w:t>
            </w:r>
            <w:r w:rsidRPr="00154B21">
              <w:rPr>
                <w:rFonts w:ascii="宋体" w:eastAsia="宋体" w:hAnsi="宋体" w:cs="Times New Roman"/>
                <w:color w:val="000000"/>
                <w:kern w:val="0"/>
                <w:szCs w:val="21"/>
              </w:rPr>
              <w:br/>
              <w:t>4.专利有效。</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《中华人民共和国广告法》第四十九条第一款</w:t>
            </w:r>
            <w:r w:rsidRPr="00154B21">
              <w:rPr>
                <w:rFonts w:ascii="宋体" w:eastAsia="宋体" w:hAnsi="宋体" w:cs="Times New Roman"/>
                <w:color w:val="000000"/>
                <w:kern w:val="0"/>
                <w:szCs w:val="21"/>
              </w:rPr>
              <w:t>市场监督管理部门履行广告监督管理职责，可以行使下列职权：（五）查封、扣押与涉嫌违法广告直接相关的广告物品、经营工具、设备等财物。</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7</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查封、扣押涉嫌广告用语用字未按规定使用普通话和规范汉字与违法广告直接相关的广告物品、经营工具、设备等财物</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2.初次违法；</w:t>
            </w:r>
            <w:r w:rsidRPr="00154B21">
              <w:rPr>
                <w:rFonts w:ascii="宋体" w:eastAsia="宋体" w:hAnsi="宋体" w:cs="Times New Roman"/>
                <w:color w:val="000000"/>
                <w:kern w:val="0"/>
                <w:szCs w:val="21"/>
              </w:rPr>
              <w:br/>
              <w:t>3.及时改正。</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《中华人民共和国广告法》第四十九条第一款</w:t>
            </w:r>
            <w:r w:rsidRPr="00154B21">
              <w:rPr>
                <w:rFonts w:ascii="宋体" w:eastAsia="宋体" w:hAnsi="宋体" w:cs="Times New Roman"/>
                <w:color w:val="000000"/>
                <w:kern w:val="0"/>
                <w:szCs w:val="21"/>
              </w:rPr>
              <w:t>市场监督管理部门履行广告监督管理职责，可以行使下列职权：（五）查封、扣押与涉嫌违法广告直接相关的广告物品、经营工具、设备等财物。</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8</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查封、扣押涉嫌发布农药广告未将广告批准文号列为广告内容同时发布与违法广告直接相关的广告物品、经营工具、设备等财物</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2.初次违法；</w:t>
            </w:r>
            <w:r w:rsidRPr="00154B21">
              <w:rPr>
                <w:rFonts w:ascii="宋体" w:eastAsia="宋体" w:hAnsi="宋体" w:cs="Times New Roman"/>
                <w:color w:val="000000"/>
                <w:kern w:val="0"/>
                <w:szCs w:val="21"/>
              </w:rPr>
              <w:br/>
              <w:t>3.已取得审查批准文号且在有效期内；</w:t>
            </w:r>
            <w:r w:rsidRPr="00154B21">
              <w:rPr>
                <w:rFonts w:ascii="宋体" w:eastAsia="宋体" w:hAnsi="宋体" w:cs="Times New Roman"/>
                <w:color w:val="000000"/>
                <w:kern w:val="0"/>
                <w:szCs w:val="21"/>
              </w:rPr>
              <w:br/>
              <w:t>4.广告发布内容与原审查批准内容一致；</w:t>
            </w:r>
            <w:r w:rsidRPr="00154B21">
              <w:rPr>
                <w:rFonts w:ascii="宋体" w:eastAsia="宋体" w:hAnsi="宋体" w:cs="Times New Roman"/>
                <w:color w:val="000000"/>
                <w:kern w:val="0"/>
                <w:szCs w:val="21"/>
              </w:rPr>
              <w:br/>
              <w:t>5.及时改正。</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《中华人民共和国广告法》第四十九条第一款</w:t>
            </w:r>
            <w:r w:rsidRPr="00154B21">
              <w:rPr>
                <w:rFonts w:ascii="宋体" w:eastAsia="宋体" w:hAnsi="宋体" w:cs="Times New Roman"/>
                <w:color w:val="000000"/>
                <w:kern w:val="0"/>
                <w:szCs w:val="21"/>
              </w:rPr>
              <w:t>市场监督管理部门履行广告监督管理职责，可以行使下列职权：（五）查封、扣押与涉嫌违法广告直接相关的广告物品、经营工具、设备等财物。</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9</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查封、扣押涉嫌发布兽药广告未将广告批准文号列为广告内容同时发布与违法广告直接相关的广告物品、经营工具、设备等财物</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2.初次违法；</w:t>
            </w:r>
            <w:r w:rsidRPr="00154B21">
              <w:rPr>
                <w:rFonts w:ascii="宋体" w:eastAsia="宋体" w:hAnsi="宋体" w:cs="Times New Roman"/>
                <w:color w:val="000000"/>
                <w:kern w:val="0"/>
                <w:szCs w:val="21"/>
              </w:rPr>
              <w:br/>
              <w:t>3.已取得审查批准文号且在有效期内；</w:t>
            </w:r>
            <w:r w:rsidRPr="00154B21">
              <w:rPr>
                <w:rFonts w:ascii="宋体" w:eastAsia="宋体" w:hAnsi="宋体" w:cs="Times New Roman"/>
                <w:color w:val="000000"/>
                <w:kern w:val="0"/>
                <w:szCs w:val="21"/>
              </w:rPr>
              <w:br/>
              <w:t>4.广告发布内容与原审查批准内容一致；</w:t>
            </w:r>
            <w:r w:rsidRPr="00154B21">
              <w:rPr>
                <w:rFonts w:ascii="宋体" w:eastAsia="宋体" w:hAnsi="宋体" w:cs="Times New Roman"/>
                <w:color w:val="000000"/>
                <w:kern w:val="0"/>
                <w:szCs w:val="21"/>
              </w:rPr>
              <w:br/>
              <w:t>5.及时改正。</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《中华人民共和国广告法》第四十九条第一款</w:t>
            </w:r>
            <w:r w:rsidRPr="00154B21">
              <w:rPr>
                <w:rFonts w:ascii="宋体" w:eastAsia="宋体" w:hAnsi="宋体" w:cs="Times New Roman"/>
                <w:color w:val="000000"/>
                <w:kern w:val="0"/>
                <w:szCs w:val="21"/>
              </w:rPr>
              <w:t>市场监督管理部门履行广告监督管理职责，可以行使下列职权：（五）查封、扣押与涉嫌违法广告直接相关的广告物品、经营工具、设备等财物。</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10</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查封、扣押涉嫌在广告中使用“国家级”“最高级”“最佳”等用语与违法广告直接相关的广告物品、经营工具、设备等财物</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2.初次违法；</w:t>
            </w:r>
            <w:r w:rsidRPr="00154B21">
              <w:rPr>
                <w:rFonts w:ascii="宋体" w:eastAsia="宋体" w:hAnsi="宋体" w:cs="Times New Roman"/>
                <w:color w:val="000000"/>
                <w:kern w:val="0"/>
                <w:szCs w:val="21"/>
              </w:rPr>
              <w:br/>
              <w:t>3.在广告主经营场所或者利用自有媒体发布自有商品或者服务广告；</w:t>
            </w:r>
            <w:r w:rsidRPr="00154B21">
              <w:rPr>
                <w:rFonts w:ascii="宋体" w:eastAsia="宋体" w:hAnsi="宋体" w:cs="Times New Roman"/>
                <w:color w:val="000000"/>
                <w:kern w:val="0"/>
                <w:szCs w:val="21"/>
              </w:rPr>
              <w:br/>
              <w:t>4.持续时间较短，或浏览人数较少，或案涉商品或者服务经营额较</w:t>
            </w:r>
            <w:r w:rsidRPr="00154B21">
              <w:rPr>
                <w:rFonts w:ascii="宋体" w:eastAsia="宋体" w:hAnsi="宋体" w:cs="Times New Roman"/>
                <w:color w:val="000000"/>
                <w:kern w:val="0"/>
                <w:szCs w:val="21"/>
              </w:rPr>
              <w:lastRenderedPageBreak/>
              <w:t>少；</w:t>
            </w:r>
            <w:r w:rsidRPr="00154B21">
              <w:rPr>
                <w:rFonts w:ascii="宋体" w:eastAsia="宋体" w:hAnsi="宋体" w:cs="Times New Roman"/>
                <w:color w:val="000000"/>
                <w:kern w:val="0"/>
                <w:szCs w:val="21"/>
              </w:rPr>
              <w:br/>
              <w:t>5.及时改正。</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lastRenderedPageBreak/>
              <w:t>《中华人民共和国广告法》第四十九条第一款</w:t>
            </w:r>
            <w:r w:rsidRPr="00154B21">
              <w:rPr>
                <w:rFonts w:ascii="宋体" w:eastAsia="宋体" w:hAnsi="宋体" w:cs="Times New Roman"/>
                <w:color w:val="000000"/>
                <w:kern w:val="0"/>
                <w:szCs w:val="21"/>
              </w:rPr>
              <w:t>市场监督管理部门履行广告监督管理职责，可以行使下列职权：（五）查封、扣押与涉嫌违法广告直接相关的广告物品、经营工具、设备等财物。</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r w:rsidR="00A81934" w:rsidRPr="00154B21">
        <w:trPr>
          <w:trHeight w:val="807"/>
        </w:trPr>
        <w:tc>
          <w:tcPr>
            <w:tcW w:w="1008" w:type="dxa"/>
            <w:tcBorders>
              <w:top w:val="nil"/>
              <w:left w:val="single" w:sz="4" w:space="0" w:color="auto"/>
              <w:bottom w:val="single" w:sz="4" w:space="0" w:color="auto"/>
              <w:right w:val="single" w:sz="4" w:space="0" w:color="auto"/>
            </w:tcBorders>
            <w:noWrap/>
            <w:vAlign w:val="center"/>
          </w:tcPr>
          <w:p w:rsidR="00A81934" w:rsidRPr="00154B21" w:rsidRDefault="00A81934" w:rsidP="00181705">
            <w:pPr>
              <w:widowControl/>
              <w:spacing w:line="28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11</w:t>
            </w:r>
          </w:p>
        </w:tc>
        <w:tc>
          <w:tcPr>
            <w:tcW w:w="1912"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查封、扣押涉嫌通过大众传播媒介发布广告未显著标明“广告”与违法广告直接相关的广告物品、经营工具、设备等财物</w:t>
            </w:r>
          </w:p>
        </w:tc>
        <w:tc>
          <w:tcPr>
            <w:tcW w:w="2320"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1.违法行为情节显著轻微或者没有明显社会危害的</w:t>
            </w:r>
            <w:r w:rsidRPr="00154B21">
              <w:rPr>
                <w:rFonts w:ascii="宋体" w:eastAsia="宋体" w:hAnsi="宋体" w:cs="Times New Roman"/>
                <w:color w:val="000000"/>
                <w:kern w:val="0"/>
                <w:szCs w:val="21"/>
              </w:rPr>
              <w:br/>
              <w:t>2.首次通过大众传播媒介发布；</w:t>
            </w:r>
            <w:r w:rsidRPr="00154B21">
              <w:rPr>
                <w:rFonts w:ascii="宋体" w:eastAsia="宋体" w:hAnsi="宋体" w:cs="Times New Roman"/>
                <w:color w:val="000000"/>
                <w:kern w:val="0"/>
                <w:szCs w:val="21"/>
              </w:rPr>
              <w:br/>
              <w:t>3.能够使消费者辨明其为广告；</w:t>
            </w:r>
            <w:r w:rsidRPr="00154B21">
              <w:rPr>
                <w:rFonts w:ascii="宋体" w:eastAsia="宋体" w:hAnsi="宋体" w:cs="Times New Roman"/>
                <w:color w:val="000000"/>
                <w:kern w:val="0"/>
                <w:szCs w:val="21"/>
              </w:rPr>
              <w:br/>
              <w:t>4.持续时间较短，或浏览人数较少，或案涉商品或者服务经营额较少；</w:t>
            </w:r>
            <w:r w:rsidRPr="00154B21">
              <w:rPr>
                <w:rFonts w:ascii="宋体" w:eastAsia="宋体" w:hAnsi="宋体" w:cs="Times New Roman"/>
                <w:color w:val="000000"/>
                <w:kern w:val="0"/>
                <w:szCs w:val="21"/>
              </w:rPr>
              <w:br/>
              <w:t>5.及时改正。</w:t>
            </w:r>
          </w:p>
        </w:tc>
        <w:tc>
          <w:tcPr>
            <w:tcW w:w="3716" w:type="dxa"/>
            <w:tcBorders>
              <w:top w:val="nil"/>
              <w:left w:val="nil"/>
              <w:bottom w:val="single" w:sz="4" w:space="0" w:color="auto"/>
              <w:right w:val="single" w:sz="4" w:space="0" w:color="auto"/>
            </w:tcBorders>
            <w:noWrap/>
            <w:vAlign w:val="center"/>
          </w:tcPr>
          <w:p w:rsidR="00A81934" w:rsidRPr="00154B21" w:rsidRDefault="00A81934" w:rsidP="00181705">
            <w:pPr>
              <w:widowControl/>
              <w:spacing w:line="28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《中华人民共和国广告法》第四十九条第一款</w:t>
            </w:r>
            <w:r w:rsidRPr="00154B21">
              <w:rPr>
                <w:rFonts w:ascii="宋体" w:eastAsia="宋体" w:hAnsi="宋体" w:cs="Times New Roman"/>
                <w:color w:val="000000"/>
                <w:kern w:val="0"/>
                <w:szCs w:val="21"/>
              </w:rPr>
              <w:t>市场监督管理部门履行广告监督管理职责，可以行使下列职权：（五）查封、扣押与涉嫌违法广告直接相关的广告物品、经营工具、设备等财物。</w:t>
            </w:r>
          </w:p>
        </w:tc>
        <w:tc>
          <w:tcPr>
            <w:tcW w:w="2338" w:type="dxa"/>
            <w:tcBorders>
              <w:top w:val="nil"/>
              <w:left w:val="nil"/>
              <w:bottom w:val="single" w:sz="4" w:space="0" w:color="auto"/>
              <w:right w:val="single" w:sz="4" w:space="0" w:color="auto"/>
            </w:tcBorders>
            <w:noWrap/>
            <w:vAlign w:val="center"/>
          </w:tcPr>
          <w:p w:rsidR="00A81934" w:rsidRPr="00181705" w:rsidRDefault="00A81934" w:rsidP="001760CB">
            <w:pPr>
              <w:widowControl/>
              <w:snapToGrid w:val="0"/>
              <w:spacing w:line="240" w:lineRule="exact"/>
              <w:jc w:val="center"/>
              <w:rPr>
                <w:kern w:val="0"/>
                <w:szCs w:val="21"/>
              </w:rPr>
            </w:pPr>
            <w:r w:rsidRPr="00181705">
              <w:rPr>
                <w:rFonts w:hint="eastAsia"/>
                <w:kern w:val="0"/>
                <w:szCs w:val="21"/>
              </w:rPr>
              <w:t>南通市海门区市场监督管理局</w:t>
            </w:r>
          </w:p>
        </w:tc>
        <w:tc>
          <w:tcPr>
            <w:tcW w:w="1787" w:type="dxa"/>
            <w:tcBorders>
              <w:top w:val="nil"/>
              <w:left w:val="nil"/>
              <w:bottom w:val="single" w:sz="4" w:space="0" w:color="auto"/>
              <w:right w:val="single" w:sz="4" w:space="0" w:color="auto"/>
            </w:tcBorders>
            <w:noWrap/>
            <w:vAlign w:val="center"/>
          </w:tcPr>
          <w:p w:rsidR="00A81934" w:rsidRDefault="00A81934" w:rsidP="001760CB">
            <w:pPr>
              <w:widowControl/>
              <w:snapToGrid w:val="0"/>
              <w:spacing w:line="240" w:lineRule="exact"/>
              <w:jc w:val="center"/>
              <w:rPr>
                <w:kern w:val="0"/>
                <w:sz w:val="24"/>
              </w:rPr>
            </w:pPr>
            <w:r w:rsidRPr="00181705">
              <w:rPr>
                <w:rFonts w:hint="eastAsia"/>
                <w:kern w:val="0"/>
                <w:szCs w:val="21"/>
              </w:rPr>
              <w:t>南通市海门区市场监督管理局</w:t>
            </w:r>
          </w:p>
        </w:tc>
      </w:tr>
    </w:tbl>
    <w:p w:rsidR="008C7DD0" w:rsidRDefault="008C7DD0" w:rsidP="005B2F8A">
      <w:pPr>
        <w:snapToGrid w:val="0"/>
      </w:pPr>
    </w:p>
    <w:sectPr w:rsidR="008C7DD0" w:rsidSect="008C7DD0">
      <w:pgSz w:w="16838" w:h="11906" w:orient="landscape"/>
      <w:pgMar w:top="1531" w:right="1814" w:bottom="1531" w:left="19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CE" w:rsidRDefault="006940CE" w:rsidP="00E4699A">
      <w:r>
        <w:separator/>
      </w:r>
    </w:p>
  </w:endnote>
  <w:endnote w:type="continuationSeparator" w:id="1">
    <w:p w:rsidR="006940CE" w:rsidRDefault="006940CE" w:rsidP="00E46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CE" w:rsidRDefault="006940CE" w:rsidP="00E4699A">
      <w:r>
        <w:separator/>
      </w:r>
    </w:p>
  </w:footnote>
  <w:footnote w:type="continuationSeparator" w:id="1">
    <w:p w:rsidR="006940CE" w:rsidRDefault="006940CE" w:rsidP="00E46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6E316"/>
    <w:multiLevelType w:val="singleLevel"/>
    <w:tmpl w:val="A8B6E31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2OGMyYWFlOWVkZGE2MjlmMTliN2NhNjg2NDU4MTgifQ=="/>
  </w:docVars>
  <w:rsids>
    <w:rsidRoot w:val="008C7DD0"/>
    <w:rsid w:val="00033270"/>
    <w:rsid w:val="00094C05"/>
    <w:rsid w:val="0009535F"/>
    <w:rsid w:val="000B189C"/>
    <w:rsid w:val="0010472B"/>
    <w:rsid w:val="00154B21"/>
    <w:rsid w:val="00181705"/>
    <w:rsid w:val="00227FE7"/>
    <w:rsid w:val="002A0C12"/>
    <w:rsid w:val="002C0B27"/>
    <w:rsid w:val="003526AA"/>
    <w:rsid w:val="0047238D"/>
    <w:rsid w:val="00491CEB"/>
    <w:rsid w:val="00522D03"/>
    <w:rsid w:val="005B2F8A"/>
    <w:rsid w:val="006466BF"/>
    <w:rsid w:val="006505D5"/>
    <w:rsid w:val="006940CE"/>
    <w:rsid w:val="006E0EDE"/>
    <w:rsid w:val="006F5E70"/>
    <w:rsid w:val="00792B4C"/>
    <w:rsid w:val="00847CB1"/>
    <w:rsid w:val="008C7DD0"/>
    <w:rsid w:val="009D65DF"/>
    <w:rsid w:val="00A81934"/>
    <w:rsid w:val="00AE79BF"/>
    <w:rsid w:val="00B96C68"/>
    <w:rsid w:val="00C51044"/>
    <w:rsid w:val="00C57479"/>
    <w:rsid w:val="00D016DD"/>
    <w:rsid w:val="00D84216"/>
    <w:rsid w:val="00D876A7"/>
    <w:rsid w:val="00DE5450"/>
    <w:rsid w:val="00E02501"/>
    <w:rsid w:val="00E4699A"/>
    <w:rsid w:val="00FC209D"/>
    <w:rsid w:val="01714C85"/>
    <w:rsid w:val="44170CEC"/>
    <w:rsid w:val="45945ECA"/>
    <w:rsid w:val="4C4C4EED"/>
    <w:rsid w:val="5FBB150E"/>
    <w:rsid w:val="6F6001F2"/>
    <w:rsid w:val="75E75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D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C7DD0"/>
    <w:pPr>
      <w:tabs>
        <w:tab w:val="center" w:pos="4153"/>
        <w:tab w:val="right" w:pos="8306"/>
      </w:tabs>
      <w:snapToGrid w:val="0"/>
      <w:jc w:val="left"/>
    </w:pPr>
    <w:rPr>
      <w:sz w:val="18"/>
      <w:szCs w:val="18"/>
    </w:rPr>
  </w:style>
  <w:style w:type="paragraph" w:customStyle="1" w:styleId="a4">
    <w:name w:val="线型"/>
    <w:basedOn w:val="a5"/>
    <w:qFormat/>
    <w:rsid w:val="008C7DD0"/>
    <w:pPr>
      <w:spacing w:line="240" w:lineRule="auto"/>
      <w:ind w:left="0" w:firstLine="0"/>
      <w:jc w:val="center"/>
    </w:pPr>
    <w:rPr>
      <w:sz w:val="21"/>
    </w:rPr>
  </w:style>
  <w:style w:type="paragraph" w:customStyle="1" w:styleId="a5">
    <w:name w:val="抄送栏"/>
    <w:basedOn w:val="a"/>
    <w:rsid w:val="008C7DD0"/>
    <w:pPr>
      <w:autoSpaceDE w:val="0"/>
      <w:autoSpaceDN w:val="0"/>
      <w:adjustRightInd w:val="0"/>
      <w:spacing w:line="454" w:lineRule="atLeast"/>
      <w:ind w:left="1310" w:right="357" w:hanging="953"/>
    </w:pPr>
    <w:rPr>
      <w:rFonts w:eastAsia="方正仿宋_GBK"/>
      <w:snapToGrid w:val="0"/>
      <w:kern w:val="0"/>
      <w:sz w:val="32"/>
      <w:szCs w:val="20"/>
    </w:rPr>
  </w:style>
  <w:style w:type="paragraph" w:styleId="a6">
    <w:name w:val="header"/>
    <w:basedOn w:val="a"/>
    <w:link w:val="Char"/>
    <w:rsid w:val="00E46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469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D82F-07C2-4908-8847-EFA72DAB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443</Words>
  <Characters>2530</Characters>
  <Application>Microsoft Office Word</Application>
  <DocSecurity>0</DocSecurity>
  <Lines>21</Lines>
  <Paragraphs>5</Paragraphs>
  <ScaleCrop>false</ScaleCrop>
  <Company>china</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3</cp:revision>
  <cp:lastPrinted>2022-07-19T02:58:00Z</cp:lastPrinted>
  <dcterms:created xsi:type="dcterms:W3CDTF">2022-07-20T02:17:00Z</dcterms:created>
  <dcterms:modified xsi:type="dcterms:W3CDTF">2022-07-20T02:22:00Z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E373226B9A07473991CE2478D9FA42B2</vt:lpwstr>
  </property>
</Properties>
</file>