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20" w:rsidRDefault="00534B02">
      <w:pPr>
        <w:pStyle w:val="1"/>
        <w:widowControl/>
        <w:spacing w:beforeAutospacing="0" w:afterAutospacing="0" w:line="900" w:lineRule="atLeast"/>
        <w:jc w:val="center"/>
        <w:rPr>
          <w:rFonts w:hint="default"/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  <w:shd w:val="clear" w:color="auto" w:fill="FFFFFF"/>
        </w:rPr>
        <w:t>2016</w:t>
      </w:r>
      <w:r>
        <w:rPr>
          <w:color w:val="333333"/>
          <w:sz w:val="27"/>
          <w:szCs w:val="27"/>
          <w:shd w:val="clear" w:color="auto" w:fill="FFFFFF"/>
        </w:rPr>
        <w:t>年海门市国民经济和社会发展统计公报</w:t>
      </w:r>
    </w:p>
    <w:bookmarkEnd w:id="0"/>
    <w:p w:rsidR="00BD5F20" w:rsidRDefault="00534B02">
      <w:pPr>
        <w:widowControl/>
        <w:shd w:val="clear" w:color="auto" w:fill="FFFFFF"/>
        <w:spacing w:line="70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海门市统计局</w:t>
      </w:r>
    </w:p>
    <w:p w:rsidR="00BD5F20" w:rsidRDefault="00534B02">
      <w:pPr>
        <w:widowControl/>
        <w:shd w:val="clear" w:color="auto" w:fill="FFFFFF"/>
        <w:spacing w:line="70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2017 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月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日</w:t>
      </w:r>
    </w:p>
    <w:p w:rsidR="00BD5F20" w:rsidRDefault="00534B02">
      <w:pPr>
        <w:widowControl/>
        <w:shd w:val="clear" w:color="auto" w:fill="FFFFFF"/>
        <w:spacing w:line="705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2016 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，面对复杂多变的国内外形势和繁重艰巨的改革发展稳定任务，全市上下按照市委、市政府决策部署，以提高发展质量效益为中心，坚持稳中求进总基调，科学统筹稳增长、促改革、调结构、惠民生、防风险等各项工作，全市经济社会保持平稳健康发展态势，实现了“十三五”良好开局。</w:t>
      </w:r>
    </w:p>
    <w:p w:rsidR="00BD5F20" w:rsidRDefault="00534B02">
      <w:pPr>
        <w:widowControl/>
        <w:shd w:val="clear" w:color="auto" w:fill="FFFFFF"/>
        <w:spacing w:line="70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一、综合</w:t>
      </w:r>
    </w:p>
    <w:p w:rsidR="00BD5F20" w:rsidRDefault="00534B02">
      <w:pPr>
        <w:widowControl/>
        <w:shd w:val="clear" w:color="auto" w:fill="FFFFFF"/>
        <w:spacing w:line="705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综合实力稳步提升。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经初步核算，全年实现地区生产总值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1005.06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。其中，第一产业增加值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53.28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亿元，同比与去年持平；第二产业增加值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504.53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；第三产业增加值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447.25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。人均地区生产总值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111100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产业结构继续优化。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全市三次产业结构演进为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∶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50.2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∶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44.5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。服务业占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GDP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的比重比上年提高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个百分点。全年实现高新技术产业产值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1003.01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亿元，占规模以上工业产值比重达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48.1%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。全年实现新兴技术产业产值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727.33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占规模以上工业产值比重达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34.9%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经济活力继续增强。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全年新登记私营企业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2328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户，比上年增长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99.0 %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；注册资本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109.20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。新登记个体工商户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9893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户，比上年增长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80.1%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。年末全市共有规模以上工业企业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621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家，限额以上批零住餐贸易企业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250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家，重点服务业企业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269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lastRenderedPageBreak/>
        <w:t>家，资质以上建筑业企业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家，房地产企业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家。全年新增城镇就业人数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10018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人，新增转移农村劳动力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4228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人。年末城镇化率为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59.10%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，比上年提高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1.78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个百分点。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消费价格温和上涨。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全年居民消费价格比上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。分类别看，食品烟酒上涨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4.0%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，衣着上涨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，居住上涨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％，生活用品及服务上涨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，交通和通信下降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，教育文化和娱乐上涨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，医疗保健上涨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，其他用品和服务上涨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。在食品中，粮食上涨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，鲜菜上涨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，畜肉上涨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，水产品上涨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，蛋下降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，鲜果上涨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12.5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％。</w:t>
      </w:r>
    </w:p>
    <w:p w:rsidR="00BD5F20" w:rsidRDefault="00534B02">
      <w:pPr>
        <w:widowControl/>
        <w:shd w:val="clear" w:color="auto" w:fill="FFFFFF"/>
        <w:spacing w:after="150" w:line="55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表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1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分类价格比上年上涨幅度情况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5"/>
        <w:gridCol w:w="3645"/>
      </w:tblGrid>
      <w:tr w:rsidR="00BD5F20">
        <w:trPr>
          <w:trHeight w:val="615"/>
          <w:jc w:val="center"/>
        </w:trPr>
        <w:tc>
          <w:tcPr>
            <w:tcW w:w="39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指标名称</w:t>
            </w:r>
          </w:p>
        </w:tc>
        <w:tc>
          <w:tcPr>
            <w:tcW w:w="364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涨幅（％）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1. 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商品零售价格总指数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1.9</w:t>
            </w:r>
          </w:p>
        </w:tc>
      </w:tr>
      <w:tr w:rsidR="00BD5F20">
        <w:trPr>
          <w:trHeight w:val="360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2. 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居民消费价格总指数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2.0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42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一、食品烟酒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4.0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315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其中：粮食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4.3</w:t>
            </w:r>
          </w:p>
        </w:tc>
      </w:tr>
      <w:tr w:rsidR="00BD5F20">
        <w:trPr>
          <w:trHeight w:val="360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　　　鲜菜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9.9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　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畜肉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7.8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　　水产品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2.4</w:t>
            </w:r>
          </w:p>
        </w:tc>
      </w:tr>
      <w:tr w:rsidR="00BD5F20">
        <w:trPr>
          <w:trHeight w:val="360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　　蛋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-0.1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　　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鲜果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12.5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　二、衣着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0.7</w:t>
            </w:r>
          </w:p>
        </w:tc>
      </w:tr>
      <w:tr w:rsidR="00BD5F20">
        <w:trPr>
          <w:trHeight w:val="360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三、居住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2.1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42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四、生活用品及服务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2.6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42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五、交通和通信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-0.4</w:t>
            </w:r>
          </w:p>
        </w:tc>
      </w:tr>
      <w:tr w:rsidR="00BD5F20">
        <w:trPr>
          <w:trHeight w:val="360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42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六、教育文化和娱乐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1.1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42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七、医疗保健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0.1</w:t>
            </w:r>
          </w:p>
        </w:tc>
      </w:tr>
      <w:tr w:rsidR="00BD5F20">
        <w:trPr>
          <w:trHeight w:val="345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42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八、其他用品和服务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3.6</w:t>
            </w:r>
          </w:p>
        </w:tc>
      </w:tr>
      <w:tr w:rsidR="00BD5F20">
        <w:trPr>
          <w:trHeight w:val="360"/>
          <w:jc w:val="center"/>
        </w:trPr>
        <w:tc>
          <w:tcPr>
            <w:tcW w:w="39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ind w:firstLine="42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服务项目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1.5</w:t>
            </w:r>
          </w:p>
        </w:tc>
      </w:tr>
    </w:tbl>
    <w:p w:rsidR="00BD5F20" w:rsidRDefault="00534B0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二、农林牧渔业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农业生产总体平稳。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全年粮食总产量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19.16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万吨，比上年减少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。其中：夏粮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4.53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；秋粮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14.63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。全年粮食播种面积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39940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lastRenderedPageBreak/>
        <w:t>公顷，比上年增加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公顷；棉花面积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8500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公顷，比上年减少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640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公顷；油料面积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26820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公顷，比上年减少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1210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公顷；蔬菜面积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31040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公顷，比上年增加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4849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林牧渔业总体稳定。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全年新增造林面积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936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公顷，林木覆盖率达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。全年猪牛羊禽肉产量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43154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吨，下降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；禽蛋总产量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43605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吨，下降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；牛奶总产量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4758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现代农业加快推进。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高标准农田比重达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54.6%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，家庭农场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635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个，农民合作社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1310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个。农村产权交易市场实现区镇全覆盖。全市新增设施农业面积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478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公顷，总量达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20500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公顷。年末农业机械总动力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38.19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万千瓦，增长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after="150" w:line="55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表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2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主要农副产品产量情况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1740"/>
        <w:gridCol w:w="1920"/>
        <w:gridCol w:w="1845"/>
      </w:tblGrid>
      <w:tr w:rsidR="00BD5F20">
        <w:trPr>
          <w:trHeight w:val="675"/>
          <w:jc w:val="center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指标名称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单位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产量</w:t>
            </w: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比上年增长（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%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）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粮食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191627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-1.5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棉花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10593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-0.5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油料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85772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-7.0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瓜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113336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0.1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禽蛋产量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43605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-0.4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水产品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81321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-7.8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生猪存栏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10.03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-0.1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生猪出栏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14.16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-0.8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羊存栏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46.11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0.3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羊出栏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47.92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-0.1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家禽存栏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320.55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-0.4</w:t>
            </w:r>
          </w:p>
        </w:tc>
      </w:tr>
      <w:tr w:rsidR="00BD5F20">
        <w:trPr>
          <w:trHeight w:val="166"/>
          <w:jc w:val="center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家禽出栏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1332.64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-1.0</w:t>
            </w:r>
          </w:p>
        </w:tc>
      </w:tr>
    </w:tbl>
    <w:p w:rsidR="00BD5F20" w:rsidRDefault="00534B02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三、工业和建筑业</w:t>
      </w:r>
    </w:p>
    <w:p w:rsidR="00BD5F20" w:rsidRDefault="00534B02">
      <w:pPr>
        <w:widowControl/>
        <w:shd w:val="clear" w:color="auto" w:fill="FFFFFF"/>
        <w:spacing w:line="555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工业运行保持稳定。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全年实现规模以上工业增加值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463.28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。全市规模工业企业实现销售收入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2057.10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；实现利税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324.11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，其中，利润总额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219.72 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after="150" w:line="55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lastRenderedPageBreak/>
        <w:t>表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3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部分工业品产量情况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1740"/>
        <w:gridCol w:w="1770"/>
        <w:gridCol w:w="1815"/>
      </w:tblGrid>
      <w:tr w:rsidR="00BD5F20">
        <w:trPr>
          <w:trHeight w:val="615"/>
          <w:jc w:val="center"/>
        </w:trPr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产品名称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计量单位</w:t>
            </w:r>
          </w:p>
        </w:tc>
        <w:tc>
          <w:tcPr>
            <w:tcW w:w="177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产量</w:t>
            </w:r>
          </w:p>
        </w:tc>
        <w:tc>
          <w:tcPr>
            <w:tcW w:w="181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比上年增长（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%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）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37653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-1.4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8195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19.5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印染布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148258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4.8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服装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2230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5.9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中成药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3777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50.7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水泥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3607074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10.0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商品混凝土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立方米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2124055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4.5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日用玻璃制品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46759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11.0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石墨及炭素制品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5769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8.0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钢材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167165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-1.4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铜材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81692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-0.2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钢丝绳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51917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1.2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锻件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10158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-1.6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气体压缩机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602809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22.7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风机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1250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6.3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电动手提式工具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1216071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32.5</w:t>
            </w:r>
          </w:p>
        </w:tc>
      </w:tr>
      <w:tr w:rsidR="00BD5F20">
        <w:trPr>
          <w:trHeight w:val="211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金属紧固件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19954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10.5</w:t>
            </w:r>
          </w:p>
        </w:tc>
      </w:tr>
      <w:tr w:rsidR="00BD5F20">
        <w:trPr>
          <w:trHeight w:val="226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光缆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芯千米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1239849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40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14.7</w:t>
            </w:r>
          </w:p>
        </w:tc>
      </w:tr>
    </w:tbl>
    <w:p w:rsidR="00BD5F20" w:rsidRDefault="00534B02">
      <w:pPr>
        <w:widowControl/>
        <w:shd w:val="clear" w:color="auto" w:fill="FFFFFF"/>
        <w:spacing w:line="64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建筑业稳定发展。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年末全市拥有资质以上建筑业企业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家，其中，特级资质建筑企业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家，一级资质建筑企业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家，二级资质建筑企业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家。全市建筑业施工人数达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31.09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万人。建筑企业全年完成建筑业总产值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1551.47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。全年施工面积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1.46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亿平方米，增长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；竣工面积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3996.08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。全年获得鲁班奖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项、参建鲁班奖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项、国优工程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项、参建国优工程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项、詹天佑奖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项、中国钢结构金奖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项、中国安装之星奖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项、全国建筑工程装饰奖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项。</w:t>
      </w:r>
    </w:p>
    <w:p w:rsidR="00BD5F20" w:rsidRDefault="00534B02">
      <w:pPr>
        <w:widowControl/>
        <w:shd w:val="clear" w:color="auto" w:fill="FFFFFF"/>
        <w:spacing w:line="64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四、固定资产投资</w:t>
      </w:r>
    </w:p>
    <w:p w:rsidR="00BD5F20" w:rsidRDefault="00534B02">
      <w:pPr>
        <w:widowControl/>
        <w:shd w:val="clear" w:color="auto" w:fill="FFFFFF"/>
        <w:spacing w:line="645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lastRenderedPageBreak/>
        <w:t>固定资产投资平稳增长。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完成固定资产投资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613.19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。其中，民间投资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536.93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。工业投资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367.53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。服务业投资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245.66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。完成基础设施投资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45.43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亿元。全年房地产投资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49.77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,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商品房施工面积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411.83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万平方米，其中，住宅施工面积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335.39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万平方米。全市商品房竣工面积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149.55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万平方米，其中，住宅竣工面积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117.81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全市商品房销售面积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122.82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45.9%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，其中，住宅销售面积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109.42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50.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五、国内贸易</w:t>
      </w:r>
    </w:p>
    <w:p w:rsidR="00BD5F20" w:rsidRDefault="00534B02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消费品市场平稳运行。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全年实现社会消费品零售总额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344.60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亿元，同比增长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。其中，城镇消费品零售额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231.99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10.7 %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；农村消费品零售额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112.61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10.8 %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。分行业看，批发和零售业消费品零售额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317.46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亿元，同比增长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；住宿和餐饮业消费品零售额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27.14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亿元，同比增长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12.6 %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大众消费平稳增长。在限额以上商品零售额中，汽车类零售额比上年下降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，石油及制品类增长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，粮油食品类增长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，烟酒类下降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，服装鞋帽针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织品类增长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，日用品类增长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，金银珠宝类下降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，家用电器和音像器材类下降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六、开放型经济</w:t>
      </w:r>
    </w:p>
    <w:p w:rsidR="00BD5F20" w:rsidRDefault="00534B02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对外贸易较快增长。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全年进出口总额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39.14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亿美元，同比增长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73.7%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。其中，出口总额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35.79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152.3%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；进口总额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3.36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59.8%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。出口结构进一步优化。机电产品、高新技术产品出口额分别为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15.03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亿美元、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5.08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亿美元，占出口总额比重分别为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42.0%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、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14.2%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。对亚洲、欧洲、北美洲的出口额分别为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19.59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亿美元、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5.40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3.66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亿美元。</w:t>
      </w:r>
    </w:p>
    <w:p w:rsidR="00BD5F20" w:rsidRDefault="00534B02">
      <w:pPr>
        <w:widowControl/>
        <w:shd w:val="clear" w:color="auto" w:fill="FFFFFF"/>
        <w:spacing w:line="58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外经合作总体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平稳。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全年新批外资项目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个，新批增资项目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个，其中千万美元以上项目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个。新批协议外资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5.89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；实际到账注册外资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3.17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lastRenderedPageBreak/>
        <w:t>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21.7%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。新签对外承包劳务合同额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4.33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；完成对外承包劳务营业额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7.25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；新派劳务人员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1346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人，比上年减少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1040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人；年末在外劳务人员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5852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人，比上年减少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823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人。新批境外投资企业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家，境外投资中方协议投资额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亿美元，下降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58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七、交通运输、邮政电信业和旅游业</w:t>
      </w:r>
    </w:p>
    <w:p w:rsidR="00BD5F20" w:rsidRDefault="00534B02">
      <w:pPr>
        <w:widowControl/>
        <w:shd w:val="clear" w:color="auto" w:fill="FFFFFF"/>
        <w:spacing w:line="58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交通运输能力提升。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全年完成公路货物运输量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794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，公路货物周转量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124875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万吨公里，增长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4.9%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；水路货物运输量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11.1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，水运货物周转量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8162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万吨公里，增长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。公路客运量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397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，旅客周转量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38889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万人公里，下降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。市内等级公路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2481.48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公里，其中，一级公路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334.82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公里，二级公路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135.04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公里，三级公路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215.66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公里，四级公路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1795.96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公里。</w:t>
      </w:r>
    </w:p>
    <w:p w:rsidR="00BD5F20" w:rsidRDefault="00534B02">
      <w:pPr>
        <w:widowControl/>
        <w:shd w:val="clear" w:color="auto" w:fill="FFFFFF"/>
        <w:spacing w:line="58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汽车保有量快速增长。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年末汽车保有量为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16.63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万辆，增长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18.5%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，其中，小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型汽车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16.27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辆，增长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18.7%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。年末全市个人汽车保有量为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15.47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万辆，增长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58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邮电通信加快调整。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全年实现邮政业务收入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1.82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。全年电信业务总收入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2.07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。本地电信固定电话用户数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20.14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万户，比上年减少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3.1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万户。年末移动电话用户数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95.43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万户，比上年增加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2.89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万户。年末互联网用户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104.38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万户（含手机用户），比上年增加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16.27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万户。</w:t>
      </w:r>
    </w:p>
    <w:p w:rsidR="00BD5F20" w:rsidRDefault="00534B02">
      <w:pPr>
        <w:widowControl/>
        <w:shd w:val="clear" w:color="auto" w:fill="FFFFFF"/>
        <w:spacing w:line="585" w:lineRule="atLeast"/>
        <w:ind w:firstLine="630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旅游产业加快形成。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海门共有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4A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级景区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3A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级景区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2A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级景区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家。旅游星级饭店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家。省星级乡村旅游区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家，省工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业旅游点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家。有旅行社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家，旅行社营业部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家。全年接待游客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348.83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万人次，比上年增长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18.1%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，其中，国际旅游者人数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10.13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万人次，增长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10.1%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。旅游总收入达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32.06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18.3%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，其中，旅游外汇收入达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1136.32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万美元，增长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58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八、财政、金融</w:t>
      </w:r>
    </w:p>
    <w:p w:rsidR="00BD5F20" w:rsidRDefault="00534B02">
      <w:pPr>
        <w:widowControl/>
        <w:shd w:val="clear" w:color="auto" w:fill="FFFFFF"/>
        <w:spacing w:line="58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lastRenderedPageBreak/>
        <w:t>财政收入政策性下降。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受营改增政策因素影响，全年实现一般公共预算收入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72.41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。其中，增值税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64.2%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，营业税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16.34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52.5%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，企业所得税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4.64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，契税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5.11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87.2%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4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全年一般公共预算支出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85.76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。一般公共预算支出中，教育支出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18.26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；公共安全支出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5.08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28.2%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；社会保障和就业支出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9.22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23.7%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；城乡社区事务支出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74.50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；科学技术支出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2.12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45" w:lineRule="atLeast"/>
        <w:ind w:firstLine="645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金融市场运行稳定。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年末全市共有各类商业银行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家，各项存款余额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1379.13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亿元，比年初增加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204.16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。其中，居民储蓄存款余额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752.07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亿元，比年初增加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54.2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7.8%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；企业存款余额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585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27.4%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。年末金融系统各项贷款余额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825.88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19.1%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，其中短期贷款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341.35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；中长期贷款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442.19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43.5%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。个人消费贷款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114.97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亿元，其中，短期贷款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11.04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亿元，中长期贷款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103.93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亿元。</w:t>
      </w:r>
    </w:p>
    <w:p w:rsidR="00BD5F20" w:rsidRDefault="00534B02">
      <w:pPr>
        <w:widowControl/>
        <w:shd w:val="clear" w:color="auto" w:fill="FFFFFF"/>
        <w:spacing w:after="150" w:line="55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表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4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年末金融机构本外币存贷款情况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860"/>
        <w:gridCol w:w="1905"/>
        <w:gridCol w:w="1905"/>
      </w:tblGrid>
      <w:tr w:rsidR="00BD5F20">
        <w:trPr>
          <w:trHeight w:val="660"/>
          <w:jc w:val="center"/>
        </w:trPr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指标名称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绝对数</w:t>
            </w:r>
          </w:p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（亿元）</w:t>
            </w:r>
          </w:p>
        </w:tc>
        <w:tc>
          <w:tcPr>
            <w:tcW w:w="19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比年初增加</w:t>
            </w:r>
          </w:p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（亿元）</w:t>
            </w:r>
          </w:p>
        </w:tc>
        <w:tc>
          <w:tcPr>
            <w:tcW w:w="19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比上年增长</w:t>
            </w:r>
          </w:p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（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%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）</w:t>
            </w:r>
          </w:p>
        </w:tc>
      </w:tr>
      <w:tr w:rsidR="00BD5F20">
        <w:trPr>
          <w:trHeight w:val="435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各项存款余额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1379.13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204.16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17.4</w:t>
            </w:r>
          </w:p>
        </w:tc>
      </w:tr>
      <w:tr w:rsidR="00BD5F20">
        <w:trPr>
          <w:trHeight w:val="435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#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企业存款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585.00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125.81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27.4</w:t>
            </w:r>
          </w:p>
        </w:tc>
      </w:tr>
      <w:tr w:rsidR="00BD5F20">
        <w:trPr>
          <w:trHeight w:val="435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储蓄存款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752.07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54.26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7.8</w:t>
            </w:r>
          </w:p>
        </w:tc>
      </w:tr>
      <w:tr w:rsidR="00BD5F20">
        <w:trPr>
          <w:trHeight w:val="435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各项贷款余额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825.88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132.59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19.1</w:t>
            </w:r>
          </w:p>
        </w:tc>
      </w:tr>
      <w:tr w:rsidR="00BD5F20">
        <w:trPr>
          <w:trHeight w:val="435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#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短期贷款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341.35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-2.07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-0.6</w:t>
            </w:r>
          </w:p>
        </w:tc>
      </w:tr>
      <w:tr w:rsidR="00BD5F20">
        <w:trPr>
          <w:trHeight w:val="435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中长期贷款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442.19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133.94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43.5</w:t>
            </w:r>
          </w:p>
        </w:tc>
      </w:tr>
      <w:tr w:rsidR="00BD5F20">
        <w:trPr>
          <w:trHeight w:val="450"/>
          <w:jc w:val="center"/>
        </w:trPr>
        <w:tc>
          <w:tcPr>
            <w:tcW w:w="22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#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个人消费贷款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114.97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42.67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D5F20" w:rsidRDefault="00534B02">
            <w:pPr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59.0</w:t>
            </w:r>
          </w:p>
        </w:tc>
      </w:tr>
    </w:tbl>
    <w:p w:rsidR="00BD5F20" w:rsidRDefault="00534B0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九、科学技术和教育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lastRenderedPageBreak/>
        <w:t>科技创新能力不断提升。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全年新增高新技术企业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家，新建省级工程技术研究中心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家、企业研究生工作站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家。万人有效发明专利达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16.5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件。海门产业技术研究院正式运行。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个项目获江苏省科学技术奖一等奖，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件专利获中国专利优秀奖。被国家知识产权局正式批准为国家知识产权示范城市。新引进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国家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专家等顶尖人才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名，新增高技能人才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7154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名，每万名劳动力中拥有高技能人才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804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名。</w:t>
      </w:r>
    </w:p>
    <w:p w:rsidR="00BD5F20" w:rsidRDefault="00534B02">
      <w:pPr>
        <w:widowControl/>
        <w:shd w:val="clear" w:color="auto" w:fill="FFFFFF"/>
        <w:spacing w:line="600" w:lineRule="atLeast"/>
        <w:ind w:firstLine="645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教育事业全面协调发展。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全市共有普通中学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所，在校生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33001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人。其中，高中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所，在校生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10698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人；初中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所，在校生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22303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人。职业中学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所，在校生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6304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人。小学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所，在校生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47415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人。特殊教育学校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所，在校生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131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人。各级各类幼儿园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所，在园生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21174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人。全市教职工数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9059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人，其中，专职教师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8332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人。教育办学条件不断改善，新建、加固校舍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5.72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万平方米，新建塑胶化操场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片。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张謇职业技术学校二期投入使用，海门港新区实验学校建成启用，数字化校园创建通过南通市级验收。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高考本一、本二上线率分别达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31.0%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81.4%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，比上年提高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2.4 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3.7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个百分点，持续名列全省前茅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十、文化、卫生和体育</w:t>
      </w:r>
    </w:p>
    <w:p w:rsidR="00BD5F20" w:rsidRDefault="00534B02">
      <w:pPr>
        <w:widowControl/>
        <w:shd w:val="clear" w:color="auto" w:fill="FFFFFF"/>
        <w:spacing w:line="600" w:lineRule="atLeast"/>
        <w:ind w:firstLine="645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公共文化服务日益完善。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全市年末共有文化馆（站）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个，公共图书馆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10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个、藏书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103.7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万册。举办各类文化展览会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60 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次，组织文艺活动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115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次。有专业技术表演团体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个，演出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360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场次，观众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万人次。有专业技术表演团体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个，演出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360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场次，观众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万人次。文化惠民成效明显。公共文化服务体系建设全省领先。全市万人拥有公共文化设施面积达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2300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平方米，江苏省江海博物馆完成结构封顶，科技馆土建主体结构封顶。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行政村（社区）建成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平方米健身广场及室内健身用房，公共文化设施覆盖率达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以上。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个公共区域实现免费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WiFi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服务全覆盖。张謇垦牧公园等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个项目入选国家文化产业重点项目库，文化产业增加值占比超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全市有线电视用户累计达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22.38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万户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,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开通有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lastRenderedPageBreak/>
        <w:t>线电视频道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套，光缆总长度达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6619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公里。广播和电视人口覆盖率均达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。全年出版《海门日报》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298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期，《海门日报》期发行量达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万份。</w:t>
      </w:r>
    </w:p>
    <w:p w:rsidR="00BD5F20" w:rsidRDefault="00534B02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卫生事业健康发展。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全市共有卫生机构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376 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个。其中：医院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个，卫生院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14 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,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社区卫生服务中心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个，疾病预防控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制中心、妇幼保健所各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个。共有卫生技术人员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4681 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人，其中：执业医师和执业助理医师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1753 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人，注册护士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1584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人，药师、技师、检验和其他人员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1304 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人。全市拥有医疗标准床位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3694 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张。全年总诊疗病人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511.52 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万人次。全年统筹新型农村合作医疗基金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4.82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亿元，参保人数达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67.35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万人，参保率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99.99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％，覆盖全市所有行政村。全年新型农村合作医疗基金补偿金额达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4.44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亿元，得保人次达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203.61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万人次。全市人均预期寿命达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80.76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岁。卫生服务体系健全率为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100 %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体育事业持续发展。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年末共有体育场地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2917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个，其中系统内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个。全市人均体育活动面积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2.65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平方米。全市共有等级运动员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420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人，其中二级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人，三级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386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人。全市共有等级裁判员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601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人，其中一级以上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人，二级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284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人，三级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262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人。全市共有三级以上社会体育指导员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2580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名，其中国家级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名，一级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名，二级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720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名，三级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1764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名。全年举办大型全民健身活动和比赛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220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场（次），参加各类健身活动达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万人。成功承办第七届“环太湖”国际公路自行车赛、第五届“朗姿珂缔缘杯”国际青少年足球邀请赛、中日青少年围棋比赛、江苏省“气排球之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乡”比赛、江苏省青少年自行车场地锦标赛等重要赛事。</w:t>
      </w:r>
    </w:p>
    <w:p w:rsidR="00BD5F20" w:rsidRDefault="00534B0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十一、城市建设和环境保护</w:t>
      </w:r>
    </w:p>
    <w:p w:rsidR="00BD5F20" w:rsidRDefault="00534B02">
      <w:pPr>
        <w:widowControl/>
        <w:shd w:val="clear" w:color="auto" w:fill="FFFFFF"/>
        <w:spacing w:line="600" w:lineRule="atLeast"/>
        <w:ind w:firstLine="645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城市功能持续完善。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全年城市维护建设资金支出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26.47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亿元，比上年增加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1.78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亿元。人均拥有道路面积达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21.12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平方米。优化合并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条城市公交线路，开通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个区镇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条镇村公交线路，完成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只公交候车亭建设改造工程。实施了二期公共自行车项目，建设站点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个，投放自行车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570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辆。年内新增建成区绿化面积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51.8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公顷，建成区绿化覆盖率达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42.3%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lastRenderedPageBreak/>
        <w:t>市区新增园林绿地面积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4.19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公顷，园林绿地面积达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325.44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公顷。全年新安装路灯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423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盏，路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灯盏数达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2.72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万盏。城区污水日处理能力保持在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万立方米，年污水处理总量达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2648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万立方米。年内新增供水管道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110.4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公里，新增用户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7646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户，全年供水总量达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3524.89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万立方米，售水量为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2891.69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万立方米。全市天然气供气管道长度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473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公里，用气人口达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19.34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生态建设成效明显。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市区环境质量保持稳定，环境空气主要污染物年平均值二氧化硫为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0.018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毫克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/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立方米，二氧化氮为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0.022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毫克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/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立方米，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PM2.5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0.045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毫克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/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立方米。全年环境空气质量指数达到良好以上的天数为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279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天，占全年天数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76.2%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。区域环境噪声平均值为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54.4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分贝，交通干线噪声平均值为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分贝。深入实施大气污染防治及水环境整治工程，地表水好于Ⅲ类水质比例达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以上。林木覆盖率和城镇绿化覆盖率分别达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和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32.5%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，获评国家生态文明建设示范市。</w:t>
      </w:r>
    </w:p>
    <w:p w:rsidR="00BD5F20" w:rsidRDefault="00534B0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十二、人民生活和社会保障</w:t>
      </w:r>
    </w:p>
    <w:p w:rsidR="00BD5F20" w:rsidRDefault="00534B02">
      <w:pPr>
        <w:widowControl/>
        <w:shd w:val="clear" w:color="auto" w:fill="FFFFFF"/>
        <w:spacing w:line="600" w:lineRule="atLeast"/>
        <w:ind w:firstLine="645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人口总量保持稳定。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年末全市户籍人口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100.10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万人，比上年末增加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0.06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万人。全年出生人口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6870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人，人口出生率为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‰；死亡人口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6915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人，人口死亡率为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6.9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‰；人口自然增长率为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-0.04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‰。年末常住人口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90.50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万人，比上年末增加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0.07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万人。</w:t>
      </w:r>
    </w:p>
    <w:p w:rsidR="00BD5F20" w:rsidRDefault="00534B02">
      <w:pPr>
        <w:widowControl/>
        <w:shd w:val="clear" w:color="auto" w:fill="FFFFFF"/>
        <w:spacing w:after="150" w:line="555" w:lineRule="atLeast"/>
        <w:ind w:firstLine="480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表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52016</w:t>
      </w: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年年末户籍人口数及其构成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2505"/>
        <w:gridCol w:w="2520"/>
      </w:tblGrid>
      <w:tr w:rsidR="00BD5F20">
        <w:trPr>
          <w:trHeight w:val="420"/>
          <w:jc w:val="center"/>
        </w:trPr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指标名称</w:t>
            </w:r>
          </w:p>
        </w:tc>
        <w:tc>
          <w:tcPr>
            <w:tcW w:w="25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年末数（人）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比重（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%</w:t>
            </w:r>
            <w:r>
              <w:rPr>
                <w:rStyle w:val="a3"/>
                <w:rFonts w:ascii="宋体" w:eastAsia="宋体" w:hAnsi="宋体" w:cs="宋体"/>
                <w:bCs/>
                <w:kern w:val="0"/>
                <w:sz w:val="24"/>
                <w:lang/>
              </w:rPr>
              <w:t>）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全市总人口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1000978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100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#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城镇人口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591578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59.1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农村人口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409400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40.9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#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男性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492143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49.2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女性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508835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50.8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#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出生人口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6870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—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#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死亡人口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6915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—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lastRenderedPageBreak/>
              <w:t>#18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岁以下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115162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11.5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18-34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岁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190445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19.0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35-59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岁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411079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41.1</w:t>
            </w:r>
          </w:p>
        </w:tc>
      </w:tr>
      <w:tr w:rsidR="00BD5F20">
        <w:trPr>
          <w:trHeight w:val="405"/>
          <w:jc w:val="center"/>
        </w:trPr>
        <w:tc>
          <w:tcPr>
            <w:tcW w:w="26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60 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岁以上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284292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D5F20" w:rsidRDefault="00534B02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28.4</w:t>
            </w:r>
          </w:p>
        </w:tc>
      </w:tr>
    </w:tbl>
    <w:p w:rsidR="00BD5F20" w:rsidRDefault="00534B02">
      <w:pPr>
        <w:widowControl/>
        <w:shd w:val="clear" w:color="auto" w:fill="FFFFFF"/>
        <w:spacing w:line="600" w:lineRule="atLeast"/>
        <w:ind w:firstLine="645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居民收入稳步增长。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根据城乡一体化住户抽样调查，全年全市居民人均可支配收入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30093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9.2%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。按常住地分，城镇居民人均可支配收入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40509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；农村居民人均可支配收入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20608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8.5%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。全市居民人均消费支出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19853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7.7%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，其中，城镇居民人均消费支出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25928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5.6%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；农村居民人均消费支出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14570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11.0%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。城镇居民人均住房面积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47.5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平方米，农村居民人均住房面积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平方米。</w:t>
      </w:r>
    </w:p>
    <w:p w:rsidR="00BD5F20" w:rsidRDefault="00534B02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社保体系逐步完善。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城乡基本养老保险覆盖率为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98.27%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，养老保险基金收入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21.43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7.9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％。其中，城镇职工养老保险参保人数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15.8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％；城乡居民基本养老保险参保人数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47.16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0.5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％。城乡基本医疗保险覆盖率为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98.95%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，医疗保险收入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11.99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亿元，增长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10.8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％。其中，城镇职工基本医疗保险参保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19.63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％；城镇居民基本医疗保险参保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3.75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万人，下降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1.3%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。失业保险覆盖率为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98.72 %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，城镇失业保险参保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12.09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万人，增长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％。年末城镇登记失业率为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1.82%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，城镇失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业人员实现再就业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3041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人。</w:t>
      </w:r>
    </w:p>
    <w:p w:rsidR="00BD5F20" w:rsidRDefault="00534B02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社会福利不断健全。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全市享受城乡最低生活保障人数为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7279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人，其中城镇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448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人，农村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5190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人；提供最低生活保障资金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3330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万元，其中城镇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万元，农村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3085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万元。城乡医疗救助资金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1975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万元，比上年增长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24.8%</w:t>
      </w:r>
      <w:r>
        <w:rPr>
          <w:rFonts w:ascii="微软雅黑" w:eastAsia="微软雅黑" w:hAnsi="微软雅黑" w:cs="微软雅黑" w:hint="eastAsia"/>
          <w:color w:val="0000FF"/>
          <w:kern w:val="0"/>
          <w:szCs w:val="21"/>
          <w:shd w:val="clear" w:color="auto" w:fill="FFFFFF"/>
          <w:lang/>
        </w:rPr>
        <w:t>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年末全市拥有各类有证养老机构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42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个，社区服务站（中心）、社区托老设施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488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个，共有床位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10953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张，收养近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6000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人次。</w:t>
      </w:r>
    </w:p>
    <w:p w:rsidR="00BD5F20" w:rsidRDefault="00534B02">
      <w:pPr>
        <w:widowControl/>
        <w:shd w:val="clear" w:color="auto" w:fill="FFFFFF"/>
        <w:spacing w:line="555" w:lineRule="atLeast"/>
        <w:ind w:firstLine="600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lastRenderedPageBreak/>
        <w:t>注：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(1)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本公报使用的数据为快报数。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(2)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地区生产总值、规模以上工业增加值及其分类项目增长速度按可比价计算，为实际增长速度；其他指标除特殊说明外，按现价计算，为名义增长速度。</w:t>
      </w:r>
    </w:p>
    <w:p w:rsidR="00BD5F20" w:rsidRDefault="00534B02">
      <w:pPr>
        <w:widowControl/>
        <w:shd w:val="clear" w:color="auto" w:fill="FFFFFF"/>
        <w:spacing w:line="555" w:lineRule="atLeast"/>
        <w:ind w:firstLine="600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bCs/>
          <w:color w:val="333333"/>
          <w:kern w:val="0"/>
          <w:szCs w:val="21"/>
          <w:shd w:val="clear" w:color="auto" w:fill="FFFFFF"/>
          <w:lang/>
        </w:rPr>
        <w:t>资料来源：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auto" w:fill="FFFFFF"/>
          <w:lang/>
        </w:rPr>
        <w:t>本公报中私营企业、个体工商户、就业、农业、建筑业、对外贸易、交通、汽车拥有量、邮电、旅游、财政、金融、科技、教育、文化、卫生、体育、住建、环保、人口、居民收入、社会保障、民政等相关数据均来源于部门。</w:t>
      </w:r>
    </w:p>
    <w:p w:rsidR="00BD5F20" w:rsidRDefault="00BD5F20"/>
    <w:sectPr w:rsidR="00BD5F20" w:rsidSect="00BD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02" w:rsidRDefault="00534B02" w:rsidP="00B72641">
      <w:r>
        <w:separator/>
      </w:r>
    </w:p>
  </w:endnote>
  <w:endnote w:type="continuationSeparator" w:id="1">
    <w:p w:rsidR="00534B02" w:rsidRDefault="00534B02" w:rsidP="00B7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02" w:rsidRDefault="00534B02" w:rsidP="00B72641">
      <w:r>
        <w:separator/>
      </w:r>
    </w:p>
  </w:footnote>
  <w:footnote w:type="continuationSeparator" w:id="1">
    <w:p w:rsidR="00534B02" w:rsidRDefault="00534B02" w:rsidP="00B72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D5F20"/>
    <w:rsid w:val="00534B02"/>
    <w:rsid w:val="00B72641"/>
    <w:rsid w:val="00BD5F20"/>
    <w:rsid w:val="293600E7"/>
    <w:rsid w:val="3E63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F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D5F2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5F20"/>
    <w:rPr>
      <w:b/>
    </w:rPr>
  </w:style>
  <w:style w:type="paragraph" w:styleId="a4">
    <w:name w:val="header"/>
    <w:basedOn w:val="a"/>
    <w:link w:val="Char"/>
    <w:rsid w:val="00B7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7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26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hmqtjj</dc:creator>
  <cp:lastModifiedBy>USER</cp:lastModifiedBy>
  <cp:revision>2</cp:revision>
  <dcterms:created xsi:type="dcterms:W3CDTF">2024-11-05T09:18:00Z</dcterms:created>
  <dcterms:modified xsi:type="dcterms:W3CDTF">2024-11-06T09:52:00Z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C5B6CCDBB2E34DABBB9B387D4238BA81</vt:lpwstr>
  </property>
</Properties>
</file>