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B0D05">
      <w:pPr>
        <w:widowControl/>
        <w:shd w:val="clear" w:color="auto" w:fill="FFFFFF"/>
        <w:spacing w:line="560" w:lineRule="atLeast"/>
        <w:jc w:val="center"/>
        <w:rPr>
          <w:rFonts w:ascii="方正小标宋_GBK" w:eastAsia="方正小标宋_GBK" w:hAnsi="方正小标宋_GBK" w:cs="方正小标宋_GBK" w:hint="eastAsia"/>
          <w:bCs/>
          <w:spacing w:val="-6"/>
          <w:sz w:val="40"/>
          <w:szCs w:val="40"/>
        </w:rPr>
      </w:pPr>
      <w:r>
        <w:rPr>
          <w:rFonts w:ascii="方正小标宋_GBK" w:eastAsia="方正小标宋_GBK" w:hAnsi="方正小标宋_GBK" w:cs="方正小标宋_GBK" w:hint="eastAsia"/>
          <w:bCs/>
          <w:spacing w:val="-6"/>
          <w:sz w:val="40"/>
          <w:szCs w:val="40"/>
        </w:rPr>
        <w:t>2022</w:t>
      </w:r>
      <w:r>
        <w:rPr>
          <w:rFonts w:ascii="方正小标宋_GBK" w:eastAsia="方正小标宋_GBK" w:hAnsi="方正小标宋_GBK" w:cs="方正小标宋_GBK" w:hint="eastAsia"/>
          <w:bCs/>
          <w:spacing w:val="-6"/>
          <w:sz w:val="40"/>
          <w:szCs w:val="40"/>
        </w:rPr>
        <w:t>年中央农业转移支付农业生产发展专项</w:t>
      </w:r>
      <w:r>
        <w:rPr>
          <w:rFonts w:ascii="方正小标宋_GBK" w:eastAsia="方正小标宋_GBK" w:hAnsi="方正小标宋_GBK" w:cs="方正小标宋_GBK" w:hint="eastAsia"/>
          <w:bCs/>
          <w:spacing w:val="-6"/>
          <w:sz w:val="40"/>
          <w:szCs w:val="40"/>
        </w:rPr>
        <w:t>(</w:t>
      </w:r>
      <w:r>
        <w:rPr>
          <w:rFonts w:ascii="方正小标宋_GBK" w:eastAsia="方正小标宋_GBK" w:hAnsi="方正小标宋_GBK" w:cs="方正小标宋_GBK" w:hint="eastAsia"/>
          <w:bCs/>
          <w:spacing w:val="-6"/>
          <w:sz w:val="40"/>
          <w:szCs w:val="40"/>
        </w:rPr>
        <w:t>省级科技创新与推广补助专项</w:t>
      </w:r>
      <w:r>
        <w:rPr>
          <w:rFonts w:ascii="方正小标宋_GBK" w:eastAsia="方正小标宋_GBK" w:hAnsi="方正小标宋_GBK" w:cs="方正小标宋_GBK" w:hint="eastAsia"/>
          <w:bCs/>
          <w:spacing w:val="-6"/>
          <w:sz w:val="40"/>
          <w:szCs w:val="40"/>
        </w:rPr>
        <w:t>)</w:t>
      </w:r>
    </w:p>
    <w:p w:rsidR="00000000" w:rsidRDefault="005B0D05" w:rsidP="008D0784">
      <w:pPr>
        <w:widowControl/>
        <w:shd w:val="clear" w:color="auto" w:fill="FFFFFF"/>
        <w:spacing w:afterLines="50" w:line="560" w:lineRule="atLeast"/>
        <w:jc w:val="center"/>
        <w:rPr>
          <w:rFonts w:ascii="黑体" w:eastAsia="方正小标宋_GBK" w:hAnsi="黑体" w:cs="宋体" w:hint="eastAsia"/>
          <w:color w:val="333333"/>
          <w:kern w:val="0"/>
          <w:sz w:val="44"/>
          <w:szCs w:val="44"/>
        </w:rPr>
      </w:pPr>
      <w:r>
        <w:rPr>
          <w:rFonts w:ascii="方正小标宋_GBK" w:eastAsia="方正小标宋_GBK" w:hAnsi="方正小标宋_GBK" w:cs="方正小标宋_GBK" w:hint="eastAsia"/>
          <w:bCs/>
          <w:spacing w:val="-6"/>
          <w:sz w:val="40"/>
          <w:szCs w:val="40"/>
        </w:rPr>
        <w:t>——</w:t>
      </w:r>
      <w:r>
        <w:rPr>
          <w:rFonts w:ascii="方正小标宋_GBK" w:eastAsia="方正小标宋_GBK" w:hAnsi="方正小标宋_GBK" w:cs="方正小标宋_GBK" w:hint="eastAsia"/>
          <w:bCs/>
          <w:spacing w:val="-6"/>
          <w:sz w:val="40"/>
          <w:szCs w:val="40"/>
        </w:rPr>
        <w:t>海门山羊种质资源保护项目</w:t>
      </w:r>
      <w:r>
        <w:rPr>
          <w:rFonts w:ascii="方正小标宋_GBK" w:eastAsia="方正小标宋_GBK" w:hAnsi="方正小标宋_GBK" w:cs="方正小标宋_GBK" w:hint="eastAsia"/>
          <w:color w:val="333333"/>
          <w:kern w:val="0"/>
          <w:sz w:val="40"/>
          <w:szCs w:val="40"/>
        </w:rPr>
        <w:t>完成情况表</w:t>
      </w:r>
    </w:p>
    <w:tbl>
      <w:tblPr>
        <w:tblW w:w="145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2242"/>
        <w:gridCol w:w="9795"/>
        <w:gridCol w:w="1800"/>
      </w:tblGrid>
      <w:tr w:rsidR="00000000">
        <w:trPr>
          <w:jc w:val="center"/>
        </w:trPr>
        <w:tc>
          <w:tcPr>
            <w:tcW w:w="717" w:type="dxa"/>
            <w:vAlign w:val="center"/>
          </w:tcPr>
          <w:p w:rsidR="00000000" w:rsidRDefault="005B0D05">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序号</w:t>
            </w:r>
          </w:p>
        </w:tc>
        <w:tc>
          <w:tcPr>
            <w:tcW w:w="2242" w:type="dxa"/>
            <w:vAlign w:val="center"/>
          </w:tcPr>
          <w:p w:rsidR="00000000" w:rsidRDefault="005B0D05">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项目实施主体</w:t>
            </w:r>
          </w:p>
        </w:tc>
        <w:tc>
          <w:tcPr>
            <w:tcW w:w="9795" w:type="dxa"/>
            <w:vAlign w:val="center"/>
          </w:tcPr>
          <w:p w:rsidR="00000000" w:rsidRDefault="005B0D05">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实施</w:t>
            </w:r>
            <w:r>
              <w:rPr>
                <w:rFonts w:ascii="方正黑体_GBK" w:eastAsia="方正黑体_GBK" w:hAnsi="方正黑体_GBK" w:cs="方正黑体_GBK" w:hint="eastAsia"/>
                <w:sz w:val="24"/>
              </w:rPr>
              <w:t>内容</w:t>
            </w:r>
          </w:p>
        </w:tc>
        <w:tc>
          <w:tcPr>
            <w:tcW w:w="1800" w:type="dxa"/>
            <w:vAlign w:val="center"/>
          </w:tcPr>
          <w:p w:rsidR="00000000" w:rsidRDefault="005B0D05">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验收结果</w:t>
            </w:r>
          </w:p>
        </w:tc>
      </w:tr>
      <w:tr w:rsidR="00000000">
        <w:trPr>
          <w:trHeight w:val="1134"/>
          <w:jc w:val="center"/>
        </w:trPr>
        <w:tc>
          <w:tcPr>
            <w:tcW w:w="717" w:type="dxa"/>
            <w:vMerge w:val="restart"/>
            <w:vAlign w:val="center"/>
          </w:tcPr>
          <w:p w:rsidR="00000000" w:rsidRDefault="005B0D05">
            <w:pPr>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2242" w:type="dxa"/>
            <w:vMerge w:val="restart"/>
            <w:vAlign w:val="center"/>
          </w:tcPr>
          <w:p w:rsidR="00000000" w:rsidRDefault="005B0D05">
            <w:pPr>
              <w:spacing w:line="4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南通市海门区长江三角洲白山羊保种繁殖研究所</w:t>
            </w:r>
          </w:p>
        </w:tc>
        <w:tc>
          <w:tcPr>
            <w:tcW w:w="9795" w:type="dxa"/>
            <w:vAlign w:val="center"/>
          </w:tcPr>
          <w:p w:rsidR="00000000" w:rsidRDefault="005B0D05">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现场查看目前存栏海门山羊种公羊</w:t>
            </w:r>
            <w:r>
              <w:rPr>
                <w:rFonts w:ascii="仿宋_GB2312" w:eastAsia="仿宋_GB2312" w:hAnsi="仿宋_GB2312" w:cs="仿宋_GB2312" w:hint="eastAsia"/>
                <w:color w:val="000000"/>
                <w:kern w:val="0"/>
                <w:sz w:val="24"/>
                <w:lang/>
              </w:rPr>
              <w:t>36</w:t>
            </w:r>
            <w:r>
              <w:rPr>
                <w:rFonts w:ascii="仿宋_GB2312" w:eastAsia="仿宋_GB2312" w:hAnsi="仿宋_GB2312" w:cs="仿宋_GB2312" w:hint="eastAsia"/>
                <w:color w:val="000000"/>
                <w:kern w:val="0"/>
                <w:sz w:val="24"/>
                <w:lang/>
              </w:rPr>
              <w:t>只，母羊</w:t>
            </w:r>
            <w:r>
              <w:rPr>
                <w:rFonts w:ascii="仿宋_GB2312" w:eastAsia="仿宋_GB2312" w:hAnsi="仿宋_GB2312" w:cs="仿宋_GB2312" w:hint="eastAsia"/>
                <w:color w:val="000000"/>
                <w:kern w:val="0"/>
                <w:sz w:val="24"/>
                <w:lang/>
              </w:rPr>
              <w:t>370</w:t>
            </w:r>
            <w:r>
              <w:rPr>
                <w:rFonts w:ascii="仿宋_GB2312" w:eastAsia="仿宋_GB2312" w:hAnsi="仿宋_GB2312" w:cs="仿宋_GB2312" w:hint="eastAsia"/>
                <w:color w:val="000000"/>
                <w:kern w:val="0"/>
                <w:sz w:val="24"/>
                <w:lang/>
              </w:rPr>
              <w:t>只，</w:t>
            </w:r>
            <w:r>
              <w:rPr>
                <w:rFonts w:ascii="仿宋_GB2312" w:eastAsia="仿宋_GB2312" w:hAnsi="仿宋_GB2312" w:cs="仿宋_GB2312" w:hint="eastAsia"/>
                <w:color w:val="000000"/>
                <w:kern w:val="0"/>
                <w:sz w:val="24"/>
                <w:lang/>
              </w:rPr>
              <w:t>6</w:t>
            </w:r>
            <w:r>
              <w:rPr>
                <w:rFonts w:ascii="仿宋_GB2312" w:eastAsia="仿宋_GB2312" w:hAnsi="仿宋_GB2312" w:cs="仿宋_GB2312" w:hint="eastAsia"/>
                <w:color w:val="000000"/>
                <w:kern w:val="0"/>
                <w:sz w:val="24"/>
                <w:lang/>
              </w:rPr>
              <w:t>个家系的核心保种群；经查阅养殖档案，</w:t>
            </w:r>
            <w:r>
              <w:rPr>
                <w:rFonts w:ascii="仿宋_GB2312" w:eastAsia="仿宋_GB2312" w:hAnsi="仿宋_GB2312" w:cs="仿宋_GB2312" w:hint="eastAsia"/>
                <w:color w:val="000000"/>
                <w:kern w:val="0"/>
                <w:sz w:val="24"/>
                <w:lang/>
              </w:rPr>
              <w:t>2023</w:t>
            </w:r>
            <w:r>
              <w:rPr>
                <w:rFonts w:ascii="仿宋_GB2312" w:eastAsia="仿宋_GB2312" w:hAnsi="仿宋_GB2312" w:cs="仿宋_GB2312" w:hint="eastAsia"/>
                <w:color w:val="000000"/>
                <w:kern w:val="0"/>
                <w:sz w:val="24"/>
                <w:lang/>
              </w:rPr>
              <w:t>年</w:t>
            </w:r>
            <w:r>
              <w:rPr>
                <w:rFonts w:ascii="仿宋_GB2312" w:eastAsia="仿宋_GB2312" w:hAnsi="仿宋_GB2312" w:cs="仿宋_GB2312" w:hint="eastAsia"/>
                <w:color w:val="000000"/>
                <w:kern w:val="0"/>
                <w:sz w:val="24"/>
                <w:lang/>
              </w:rPr>
              <w:t>5</w:t>
            </w:r>
            <w:r>
              <w:rPr>
                <w:rFonts w:ascii="仿宋_GB2312" w:eastAsia="仿宋_GB2312" w:hAnsi="仿宋_GB2312" w:cs="仿宋_GB2312" w:hint="eastAsia"/>
                <w:color w:val="000000"/>
                <w:kern w:val="0"/>
                <w:sz w:val="24"/>
                <w:lang/>
              </w:rPr>
              <w:t>月存栏海门山羊种公羊</w:t>
            </w:r>
            <w:r>
              <w:rPr>
                <w:rFonts w:ascii="仿宋_GB2312" w:eastAsia="仿宋_GB2312" w:hAnsi="仿宋_GB2312" w:cs="仿宋_GB2312" w:hint="eastAsia"/>
                <w:color w:val="000000"/>
                <w:kern w:val="0"/>
                <w:sz w:val="24"/>
                <w:lang/>
              </w:rPr>
              <w:t>37</w:t>
            </w:r>
            <w:r>
              <w:rPr>
                <w:rFonts w:ascii="仿宋_GB2312" w:eastAsia="仿宋_GB2312" w:hAnsi="仿宋_GB2312" w:cs="仿宋_GB2312" w:hint="eastAsia"/>
                <w:color w:val="000000"/>
                <w:kern w:val="0"/>
                <w:sz w:val="24"/>
                <w:lang/>
              </w:rPr>
              <w:t>只，母羊</w:t>
            </w:r>
            <w:r>
              <w:rPr>
                <w:rFonts w:ascii="仿宋_GB2312" w:eastAsia="仿宋_GB2312" w:hAnsi="仿宋_GB2312" w:cs="仿宋_GB2312" w:hint="eastAsia"/>
                <w:color w:val="000000"/>
                <w:kern w:val="0"/>
                <w:sz w:val="24"/>
                <w:lang/>
              </w:rPr>
              <w:t>435</w:t>
            </w:r>
            <w:r>
              <w:rPr>
                <w:rFonts w:ascii="仿宋_GB2312" w:eastAsia="仿宋_GB2312" w:hAnsi="仿宋_GB2312" w:cs="仿宋_GB2312" w:hint="eastAsia"/>
                <w:color w:val="000000"/>
                <w:kern w:val="0"/>
                <w:sz w:val="24"/>
                <w:lang/>
              </w:rPr>
              <w:t>只。</w:t>
            </w:r>
          </w:p>
        </w:tc>
        <w:tc>
          <w:tcPr>
            <w:tcW w:w="1800" w:type="dxa"/>
            <w:vAlign w:val="center"/>
          </w:tcPr>
          <w:p w:rsidR="00000000" w:rsidRDefault="005B0D05">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合格</w:t>
            </w:r>
          </w:p>
        </w:tc>
      </w:tr>
      <w:tr w:rsidR="00000000">
        <w:trPr>
          <w:trHeight w:val="850"/>
          <w:jc w:val="center"/>
        </w:trPr>
        <w:tc>
          <w:tcPr>
            <w:tcW w:w="717" w:type="dxa"/>
            <w:vMerge/>
          </w:tcPr>
          <w:p w:rsidR="00000000" w:rsidRDefault="005B0D05">
            <w:pPr>
              <w:jc w:val="center"/>
              <w:rPr>
                <w:rFonts w:ascii="仿宋_GB2312" w:eastAsia="仿宋_GB2312" w:hAnsi="仿宋_GB2312" w:cs="仿宋_GB2312" w:hint="eastAsia"/>
                <w:sz w:val="24"/>
              </w:rPr>
            </w:pPr>
          </w:p>
        </w:tc>
        <w:tc>
          <w:tcPr>
            <w:tcW w:w="2242" w:type="dxa"/>
            <w:vMerge/>
          </w:tcPr>
          <w:p w:rsidR="00000000" w:rsidRDefault="005B0D05">
            <w:pPr>
              <w:spacing w:line="400" w:lineRule="exact"/>
              <w:jc w:val="center"/>
              <w:rPr>
                <w:rFonts w:ascii="仿宋_GB2312" w:eastAsia="仿宋_GB2312" w:hAnsi="仿宋_GB2312" w:cs="仿宋_GB2312" w:hint="eastAsia"/>
                <w:kern w:val="0"/>
                <w:sz w:val="24"/>
              </w:rPr>
            </w:pPr>
          </w:p>
        </w:tc>
        <w:tc>
          <w:tcPr>
            <w:tcW w:w="9795" w:type="dxa"/>
            <w:vAlign w:val="center"/>
          </w:tcPr>
          <w:p w:rsidR="00000000" w:rsidRDefault="005B0D05">
            <w:pPr>
              <w:widowControl/>
              <w:jc w:val="left"/>
              <w:textAlignment w:val="center"/>
              <w:rPr>
                <w:rFonts w:ascii="仿宋_GB2312" w:eastAsia="仿宋_GB2312" w:hAnsi="仿宋_GB2312" w:cs="仿宋_GB2312" w:hint="eastAsia"/>
                <w:color w:val="000000"/>
                <w:sz w:val="24"/>
                <w:lang/>
              </w:rPr>
            </w:pPr>
            <w:r>
              <w:rPr>
                <w:rStyle w:val="font11"/>
                <w:rFonts w:ascii="仿宋_GB2312" w:eastAsia="仿宋_GB2312" w:hAnsi="仿宋_GB2312" w:cs="仿宋_GB2312"/>
                <w:lang/>
              </w:rPr>
              <w:t>通过苏彩云平台招标，购置山羊饲料</w:t>
            </w:r>
            <w:r>
              <w:rPr>
                <w:rStyle w:val="font11"/>
                <w:rFonts w:ascii="仿宋_GB2312" w:eastAsia="仿宋_GB2312" w:hAnsi="仿宋_GB2312" w:cs="仿宋_GB2312"/>
                <w:lang/>
              </w:rPr>
              <w:t>155</w:t>
            </w:r>
            <w:r>
              <w:rPr>
                <w:rStyle w:val="font11"/>
                <w:rFonts w:ascii="仿宋_GB2312" w:eastAsia="仿宋_GB2312" w:hAnsi="仿宋_GB2312" w:cs="仿宋_GB2312"/>
                <w:lang/>
              </w:rPr>
              <w:t>吨，使用资金</w:t>
            </w:r>
            <w:r>
              <w:rPr>
                <w:rStyle w:val="font11"/>
                <w:rFonts w:ascii="仿宋_GB2312" w:eastAsia="仿宋_GB2312" w:hAnsi="仿宋_GB2312" w:cs="仿宋_GB2312"/>
                <w:lang/>
              </w:rPr>
              <w:t>484500</w:t>
            </w:r>
            <w:r>
              <w:rPr>
                <w:rStyle w:val="font11"/>
                <w:rFonts w:ascii="仿宋_GB2312" w:eastAsia="仿宋_GB2312" w:hAnsi="仿宋_GB2312" w:cs="仿宋_GB2312"/>
                <w:lang/>
              </w:rPr>
              <w:t>元。</w:t>
            </w:r>
          </w:p>
        </w:tc>
        <w:tc>
          <w:tcPr>
            <w:tcW w:w="1800" w:type="dxa"/>
            <w:vAlign w:val="center"/>
          </w:tcPr>
          <w:p w:rsidR="00000000" w:rsidRDefault="005B0D05">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合格</w:t>
            </w:r>
          </w:p>
        </w:tc>
      </w:tr>
      <w:tr w:rsidR="00000000">
        <w:trPr>
          <w:trHeight w:val="850"/>
          <w:jc w:val="center"/>
        </w:trPr>
        <w:tc>
          <w:tcPr>
            <w:tcW w:w="717" w:type="dxa"/>
            <w:vMerge/>
          </w:tcPr>
          <w:p w:rsidR="00000000" w:rsidRDefault="005B0D05">
            <w:pPr>
              <w:jc w:val="center"/>
              <w:rPr>
                <w:rFonts w:ascii="仿宋_GB2312" w:eastAsia="仿宋_GB2312" w:hAnsi="仿宋_GB2312" w:cs="仿宋_GB2312" w:hint="eastAsia"/>
                <w:sz w:val="24"/>
              </w:rPr>
            </w:pPr>
          </w:p>
        </w:tc>
        <w:tc>
          <w:tcPr>
            <w:tcW w:w="2242" w:type="dxa"/>
            <w:vMerge/>
          </w:tcPr>
          <w:p w:rsidR="00000000" w:rsidRDefault="005B0D05">
            <w:pPr>
              <w:spacing w:line="400" w:lineRule="exact"/>
              <w:jc w:val="center"/>
              <w:rPr>
                <w:rFonts w:ascii="仿宋_GB2312" w:eastAsia="仿宋_GB2312" w:hAnsi="仿宋_GB2312" w:cs="仿宋_GB2312" w:hint="eastAsia"/>
                <w:kern w:val="0"/>
                <w:sz w:val="24"/>
              </w:rPr>
            </w:pPr>
          </w:p>
        </w:tc>
        <w:tc>
          <w:tcPr>
            <w:tcW w:w="9795" w:type="dxa"/>
            <w:vAlign w:val="center"/>
          </w:tcPr>
          <w:p w:rsidR="00000000" w:rsidRDefault="005B0D05">
            <w:pPr>
              <w:widowControl/>
              <w:jc w:val="left"/>
              <w:textAlignment w:val="center"/>
              <w:rPr>
                <w:rFonts w:ascii="仿宋_GB2312" w:eastAsia="仿宋_GB2312" w:hAnsi="仿宋_GB2312" w:cs="仿宋_GB2312" w:hint="eastAsia"/>
                <w:color w:val="000000"/>
                <w:sz w:val="24"/>
              </w:rPr>
            </w:pPr>
            <w:r>
              <w:rPr>
                <w:rStyle w:val="font11"/>
                <w:rFonts w:ascii="仿宋_GB2312" w:eastAsia="仿宋_GB2312" w:hAnsi="仿宋_GB2312" w:cs="仿宋_GB2312"/>
                <w:lang/>
              </w:rPr>
              <w:t>通过苏彩云平台框架协议，购置理光</w:t>
            </w:r>
            <w:r>
              <w:rPr>
                <w:rStyle w:val="font11"/>
                <w:rFonts w:ascii="仿宋_GB2312" w:eastAsia="仿宋_GB2312" w:hAnsi="仿宋_GB2312" w:cs="仿宋_GB2312"/>
                <w:lang/>
              </w:rPr>
              <w:t>IMC3000A3</w:t>
            </w:r>
            <w:r>
              <w:rPr>
                <w:rStyle w:val="font11"/>
                <w:rFonts w:ascii="仿宋_GB2312" w:eastAsia="仿宋_GB2312" w:hAnsi="仿宋_GB2312" w:cs="仿宋_GB2312"/>
                <w:lang/>
              </w:rPr>
              <w:t>彩色数码复合机</w:t>
            </w:r>
            <w:r>
              <w:rPr>
                <w:rStyle w:val="font11"/>
                <w:rFonts w:ascii="仿宋_GB2312" w:eastAsia="仿宋_GB2312" w:hAnsi="仿宋_GB2312" w:cs="仿宋_GB2312"/>
                <w:lang/>
              </w:rPr>
              <w:t>1</w:t>
            </w:r>
            <w:r>
              <w:rPr>
                <w:rStyle w:val="font11"/>
                <w:rFonts w:ascii="仿宋_GB2312" w:eastAsia="仿宋_GB2312" w:hAnsi="仿宋_GB2312" w:cs="仿宋_GB2312"/>
                <w:lang/>
              </w:rPr>
              <w:t>台，使用资金</w:t>
            </w:r>
            <w:r>
              <w:rPr>
                <w:rStyle w:val="font11"/>
                <w:rFonts w:ascii="仿宋_GB2312" w:eastAsia="仿宋_GB2312" w:hAnsi="仿宋_GB2312" w:cs="仿宋_GB2312"/>
                <w:lang/>
              </w:rPr>
              <w:t>29999</w:t>
            </w:r>
            <w:r>
              <w:rPr>
                <w:rStyle w:val="font11"/>
                <w:rFonts w:ascii="仿宋_GB2312" w:eastAsia="仿宋_GB2312" w:hAnsi="仿宋_GB2312" w:cs="仿宋_GB2312"/>
                <w:lang/>
              </w:rPr>
              <w:t>元。</w:t>
            </w:r>
          </w:p>
        </w:tc>
        <w:tc>
          <w:tcPr>
            <w:tcW w:w="1800" w:type="dxa"/>
            <w:vAlign w:val="center"/>
          </w:tcPr>
          <w:p w:rsidR="00000000" w:rsidRDefault="005B0D05">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合格</w:t>
            </w:r>
          </w:p>
        </w:tc>
      </w:tr>
      <w:tr w:rsidR="00000000">
        <w:trPr>
          <w:trHeight w:val="1417"/>
          <w:jc w:val="center"/>
        </w:trPr>
        <w:tc>
          <w:tcPr>
            <w:tcW w:w="717" w:type="dxa"/>
            <w:vMerge/>
          </w:tcPr>
          <w:p w:rsidR="00000000" w:rsidRDefault="005B0D05">
            <w:pPr>
              <w:jc w:val="center"/>
              <w:rPr>
                <w:rFonts w:ascii="仿宋_GB2312" w:eastAsia="仿宋_GB2312" w:hAnsi="仿宋_GB2312" w:cs="仿宋_GB2312" w:hint="eastAsia"/>
                <w:sz w:val="24"/>
              </w:rPr>
            </w:pPr>
          </w:p>
        </w:tc>
        <w:tc>
          <w:tcPr>
            <w:tcW w:w="2242" w:type="dxa"/>
            <w:vMerge/>
          </w:tcPr>
          <w:p w:rsidR="00000000" w:rsidRDefault="005B0D05">
            <w:pPr>
              <w:spacing w:line="400" w:lineRule="exact"/>
              <w:jc w:val="center"/>
              <w:rPr>
                <w:rFonts w:ascii="仿宋_GB2312" w:eastAsia="仿宋_GB2312" w:hAnsi="仿宋_GB2312" w:cs="仿宋_GB2312" w:hint="eastAsia"/>
                <w:kern w:val="0"/>
                <w:sz w:val="24"/>
              </w:rPr>
            </w:pPr>
          </w:p>
        </w:tc>
        <w:tc>
          <w:tcPr>
            <w:tcW w:w="9795" w:type="dxa"/>
            <w:vAlign w:val="center"/>
          </w:tcPr>
          <w:p w:rsidR="00000000" w:rsidRDefault="005B0D05">
            <w:pPr>
              <w:widowControl/>
              <w:jc w:val="left"/>
              <w:textAlignment w:val="center"/>
              <w:rPr>
                <w:rFonts w:ascii="仿宋_GB2312" w:eastAsia="仿宋_GB2312" w:hAnsi="仿宋_GB2312" w:cs="仿宋_GB2312" w:hint="eastAsia"/>
                <w:color w:val="000000"/>
                <w:sz w:val="24"/>
              </w:rPr>
            </w:pPr>
            <w:r>
              <w:rPr>
                <w:rStyle w:val="font11"/>
                <w:rFonts w:ascii="仿宋_GB2312" w:eastAsia="仿宋_GB2312" w:hAnsi="仿宋_GB2312" w:cs="仿宋_GB2312"/>
                <w:lang/>
              </w:rPr>
              <w:t>与扬州大学遗传育种实验室开展产学研合作，开</w:t>
            </w:r>
            <w:r>
              <w:rPr>
                <w:rStyle w:val="font11"/>
                <w:rFonts w:ascii="仿宋_GB2312" w:eastAsia="仿宋_GB2312" w:hAnsi="仿宋_GB2312" w:cs="仿宋_GB2312"/>
                <w:lang/>
              </w:rPr>
              <w:t>展长江三角洲白山羊</w:t>
            </w:r>
            <w:r>
              <w:rPr>
                <w:rStyle w:val="font11"/>
                <w:rFonts w:ascii="仿宋_GB2312" w:eastAsia="仿宋_GB2312" w:hAnsi="仿宋_GB2312" w:cs="仿宋_GB2312"/>
                <w:lang/>
              </w:rPr>
              <w:t>(</w:t>
            </w:r>
            <w:r>
              <w:rPr>
                <w:rStyle w:val="font11"/>
                <w:rFonts w:ascii="仿宋_GB2312" w:eastAsia="仿宋_GB2312" w:hAnsi="仿宋_GB2312" w:cs="仿宋_GB2312"/>
                <w:lang/>
              </w:rPr>
              <w:t>优质笔料毛型</w:t>
            </w:r>
            <w:r>
              <w:rPr>
                <w:rStyle w:val="font11"/>
                <w:rFonts w:ascii="仿宋_GB2312" w:eastAsia="仿宋_GB2312" w:hAnsi="仿宋_GB2312" w:cs="仿宋_GB2312"/>
                <w:lang/>
              </w:rPr>
              <w:t>)</w:t>
            </w:r>
            <w:r>
              <w:rPr>
                <w:rStyle w:val="font11"/>
                <w:rFonts w:ascii="仿宋_GB2312" w:eastAsia="仿宋_GB2312" w:hAnsi="仿宋_GB2312" w:cs="仿宋_GB2312"/>
                <w:lang/>
              </w:rPr>
              <w:t>的分子鉴定方法研究，形成由南通市农村专业技术协会组织专家评审并形成科技成果评价报告，使用资金</w:t>
            </w:r>
            <w:r>
              <w:rPr>
                <w:rStyle w:val="font11"/>
                <w:rFonts w:ascii="仿宋_GB2312" w:eastAsia="仿宋_GB2312" w:hAnsi="仿宋_GB2312" w:cs="仿宋_GB2312"/>
                <w:lang/>
              </w:rPr>
              <w:t>149000</w:t>
            </w:r>
            <w:r>
              <w:rPr>
                <w:rStyle w:val="font11"/>
                <w:rFonts w:ascii="仿宋_GB2312" w:eastAsia="仿宋_GB2312" w:hAnsi="仿宋_GB2312" w:cs="仿宋_GB2312"/>
                <w:lang/>
              </w:rPr>
              <w:t>元。</w:t>
            </w:r>
          </w:p>
        </w:tc>
        <w:tc>
          <w:tcPr>
            <w:tcW w:w="1800" w:type="dxa"/>
            <w:vAlign w:val="center"/>
          </w:tcPr>
          <w:p w:rsidR="00000000" w:rsidRDefault="005B0D05">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合格</w:t>
            </w:r>
          </w:p>
        </w:tc>
      </w:tr>
      <w:tr w:rsidR="00000000">
        <w:trPr>
          <w:trHeight w:val="850"/>
          <w:jc w:val="center"/>
        </w:trPr>
        <w:tc>
          <w:tcPr>
            <w:tcW w:w="717" w:type="dxa"/>
            <w:vMerge/>
          </w:tcPr>
          <w:p w:rsidR="00000000" w:rsidRDefault="005B0D05">
            <w:pPr>
              <w:jc w:val="center"/>
              <w:rPr>
                <w:rFonts w:ascii="仿宋_GB2312" w:eastAsia="仿宋_GB2312" w:hAnsi="仿宋_GB2312" w:cs="仿宋_GB2312" w:hint="eastAsia"/>
                <w:sz w:val="24"/>
              </w:rPr>
            </w:pPr>
          </w:p>
        </w:tc>
        <w:tc>
          <w:tcPr>
            <w:tcW w:w="2242" w:type="dxa"/>
            <w:vMerge/>
          </w:tcPr>
          <w:p w:rsidR="00000000" w:rsidRDefault="005B0D05">
            <w:pPr>
              <w:spacing w:line="400" w:lineRule="exact"/>
              <w:jc w:val="center"/>
              <w:rPr>
                <w:rFonts w:ascii="仿宋_GB2312" w:eastAsia="仿宋_GB2312" w:hAnsi="仿宋_GB2312" w:cs="仿宋_GB2312" w:hint="eastAsia"/>
                <w:kern w:val="0"/>
                <w:sz w:val="24"/>
              </w:rPr>
            </w:pPr>
          </w:p>
        </w:tc>
        <w:tc>
          <w:tcPr>
            <w:tcW w:w="9795" w:type="dxa"/>
            <w:vAlign w:val="center"/>
          </w:tcPr>
          <w:p w:rsidR="00000000" w:rsidRDefault="005B0D05">
            <w:pPr>
              <w:widowControl/>
              <w:jc w:val="left"/>
              <w:textAlignment w:val="center"/>
              <w:rPr>
                <w:rStyle w:val="font11"/>
                <w:rFonts w:ascii="仿宋_GB2312" w:eastAsia="仿宋_GB2312" w:hAnsi="仿宋_GB2312" w:cs="仿宋_GB2312"/>
                <w:lang/>
              </w:rPr>
            </w:pPr>
            <w:r>
              <w:rPr>
                <w:rFonts w:ascii="仿宋_GB2312" w:eastAsia="仿宋_GB2312" w:hAnsi="仿宋_GB2312" w:cs="仿宋_GB2312" w:hint="eastAsia"/>
                <w:color w:val="000000"/>
                <w:sz w:val="24"/>
              </w:rPr>
              <w:t>资料复印和审计费，使用资金</w:t>
            </w:r>
            <w:r>
              <w:rPr>
                <w:rFonts w:ascii="仿宋_GB2312" w:eastAsia="仿宋_GB2312" w:hAnsi="仿宋_GB2312" w:cs="仿宋_GB2312" w:hint="eastAsia"/>
                <w:color w:val="000000"/>
                <w:sz w:val="24"/>
              </w:rPr>
              <w:t>3920</w:t>
            </w:r>
            <w:r>
              <w:rPr>
                <w:rFonts w:ascii="仿宋_GB2312" w:eastAsia="仿宋_GB2312" w:hAnsi="仿宋_GB2312" w:cs="仿宋_GB2312" w:hint="eastAsia"/>
                <w:color w:val="000000"/>
                <w:sz w:val="24"/>
              </w:rPr>
              <w:t>元。</w:t>
            </w:r>
          </w:p>
        </w:tc>
        <w:tc>
          <w:tcPr>
            <w:tcW w:w="1800" w:type="dxa"/>
            <w:vAlign w:val="center"/>
          </w:tcPr>
          <w:p w:rsidR="00000000" w:rsidRDefault="005B0D05">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合格</w:t>
            </w:r>
          </w:p>
        </w:tc>
      </w:tr>
    </w:tbl>
    <w:p w:rsidR="005B0D05" w:rsidRDefault="005B0D05">
      <w:pPr>
        <w:widowControl/>
        <w:shd w:val="clear" w:color="auto" w:fill="FFFFFF"/>
        <w:spacing w:line="520" w:lineRule="atLeast"/>
      </w:pPr>
    </w:p>
    <w:sectPr w:rsidR="005B0D05">
      <w:pgSz w:w="16838" w:h="11906" w:orient="landscape"/>
      <w:pgMar w:top="1803" w:right="1417" w:bottom="1803" w:left="1417"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D05" w:rsidRDefault="005B0D05" w:rsidP="008D0784">
      <w:r>
        <w:separator/>
      </w:r>
    </w:p>
  </w:endnote>
  <w:endnote w:type="continuationSeparator" w:id="0">
    <w:p w:rsidR="005B0D05" w:rsidRDefault="005B0D05" w:rsidP="008D0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auto"/>
    <w:pitch w:val="default"/>
    <w:sig w:usb0="A00002BF" w:usb1="38CF7CFA" w:usb2="00082016" w:usb3="00000000" w:csb0="00040001" w:csb1="00000000"/>
    <w:embedRegular r:id="rId1" w:subsetted="1" w:fontKey="{D640C121-9DEA-4ED2-9AE1-24ED8BF5F8FE}"/>
  </w:font>
  <w:font w:name="黑体">
    <w:altName w:val="SimHei"/>
    <w:panose1 w:val="02010609060101010101"/>
    <w:charset w:val="86"/>
    <w:family w:val="modern"/>
    <w:pitch w:val="fixed"/>
    <w:sig w:usb0="800002BF" w:usb1="38CF7CFA" w:usb2="00000016" w:usb3="00000000" w:csb0="00040001" w:csb1="00000000"/>
  </w:font>
  <w:font w:name="方正黑体_GBK">
    <w:charset w:val="86"/>
    <w:family w:val="auto"/>
    <w:pitch w:val="default"/>
    <w:sig w:usb0="00000001" w:usb1="080E0000" w:usb2="00000000" w:usb3="00000000" w:csb0="00040000" w:csb1="00000000"/>
    <w:embedRegular r:id="rId2" w:subsetted="1" w:fontKey="{44127346-1D69-47E3-82A2-A8CCC6252A83}"/>
  </w:font>
  <w:font w:name="仿宋_GB2312">
    <w:altName w:val="微软雅黑"/>
    <w:charset w:val="86"/>
    <w:family w:val="auto"/>
    <w:pitch w:val="default"/>
    <w:sig w:usb0="00000000" w:usb1="080E0000" w:usb2="00000000" w:usb3="00000000" w:csb0="00040000" w:csb1="00000000"/>
    <w:embedRegular r:id="rId3" w:subsetted="1" w:fontKey="{6DAED5D9-EEDB-474A-A711-0937E28F4A0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D05" w:rsidRDefault="005B0D05" w:rsidP="008D0784">
      <w:r>
        <w:separator/>
      </w:r>
    </w:p>
  </w:footnote>
  <w:footnote w:type="continuationSeparator" w:id="0">
    <w:p w:rsidR="005B0D05" w:rsidRDefault="005B0D05" w:rsidP="008D07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stylePaneFormatFilter w:val="3F01"/>
  <w:defaultTabStop w:val="420"/>
  <w:drawingGridVerticalSpacing w:val="159"/>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1DFA"/>
    <w:rsid w:val="005B0D05"/>
    <w:rsid w:val="008D0784"/>
    <w:rsid w:val="2C7E72FF"/>
    <w:rsid w:val="6A971D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iPriority w:val="99"/>
    <w:qFormat/>
    <w:pPr>
      <w:ind w:firstLineChars="200" w:firstLine="420"/>
    </w:pPr>
  </w:style>
  <w:style w:type="paragraph" w:styleId="a3">
    <w:name w:val="Balloon Text"/>
    <w:basedOn w:val="a"/>
    <w:semiHidden/>
    <w:rPr>
      <w:sz w:val="18"/>
      <w:szCs w:val="18"/>
    </w:rPr>
  </w:style>
  <w:style w:type="paragraph" w:styleId="a4">
    <w:name w:val="footer"/>
    <w:basedOn w:val="a"/>
    <w:link w:val="Char"/>
    <w:pPr>
      <w:tabs>
        <w:tab w:val="center" w:pos="4153"/>
        <w:tab w:val="right" w:pos="8306"/>
      </w:tabs>
      <w:snapToGrid w:val="0"/>
      <w:jc w:val="left"/>
    </w:pPr>
    <w:rPr>
      <w:sz w:val="18"/>
      <w:szCs w:val="18"/>
    </w:rPr>
  </w:style>
  <w:style w:type="character" w:customStyle="1" w:styleId="Char">
    <w:name w:val="页脚 Char"/>
    <w:basedOn w:val="a0"/>
    <w:link w:val="a4"/>
    <w:rPr>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kern w:val="2"/>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character" w:customStyle="1" w:styleId="font11">
    <w:name w:val="font11"/>
    <w:basedOn w:val="a0"/>
    <w:qFormat/>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339</Characters>
  <Application>Microsoft Office Word</Application>
  <DocSecurity>0</DocSecurity>
  <PresentationFormat/>
  <Lines>2</Lines>
  <Paragraphs>1</Paragraphs>
  <Slides>0</Slides>
  <Notes>0</Notes>
  <HiddenSlides>0</HiddenSlides>
  <MMClips>0</MMClips>
  <ScaleCrop>false</ScaleCrop>
  <Company>China</Company>
  <LinksUpToDate>false</LinksUpToDate>
  <CharactersWithSpaces>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月圆人方</dc:creator>
  <cp:lastModifiedBy>Administrator</cp:lastModifiedBy>
  <cp:revision>3</cp:revision>
  <cp:lastPrinted>2023-12-07T05:31:00Z</cp:lastPrinted>
  <dcterms:created xsi:type="dcterms:W3CDTF">2025-02-11T09:19:00Z</dcterms:created>
  <dcterms:modified xsi:type="dcterms:W3CDTF">2025-02-11T09:19:00Z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57F298A53E394718810D3BA007AB9AB8_13</vt:lpwstr>
  </property>
  <property fmtid="{D5CDD505-2E9C-101B-9397-08002B2CF9AE}" pid="4" name="KSOTemplateDocerSaveRecord">
    <vt:lpwstr>eyJoZGlkIjoiZjliYzk4OTIzNDk4NDc4NDc3YWZjODcwMmIwNjQ3ZTIiLCJ1c2VySWQiOiIzMjEyMDE2NDkifQ==</vt:lpwstr>
  </property>
</Properties>
</file>